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394DA0" w14:textId="77777777" w:rsidR="00063451" w:rsidRPr="008C3672" w:rsidRDefault="00063451" w:rsidP="00C450C0">
      <w:pPr>
        <w:jc w:val="both"/>
        <w:rPr>
          <w:sz w:val="24"/>
        </w:rPr>
      </w:pPr>
    </w:p>
    <w:p w14:paraId="52B06B72" w14:textId="77777777" w:rsidR="00BE36D6" w:rsidRDefault="00BE36D6" w:rsidP="00BE36D6">
      <w:pPr>
        <w:jc w:val="both"/>
      </w:pPr>
    </w:p>
    <w:p w14:paraId="40B36977" w14:textId="77777777" w:rsidR="00B85B74" w:rsidRPr="00B85B74" w:rsidRDefault="00B85B74" w:rsidP="00BE36D6">
      <w:pPr>
        <w:jc w:val="center"/>
        <w:rPr>
          <w:b/>
          <w:sz w:val="32"/>
        </w:rPr>
      </w:pPr>
      <w:r w:rsidRPr="00B85B74">
        <w:rPr>
          <w:b/>
          <w:sz w:val="32"/>
        </w:rPr>
        <w:t xml:space="preserve">Upute za prijavitelje </w:t>
      </w:r>
    </w:p>
    <w:p w14:paraId="5516C9E8" w14:textId="23BB17E1" w:rsidR="00BE36D6" w:rsidRPr="008C3672" w:rsidRDefault="00B85B74" w:rsidP="00BE36D6">
      <w:pPr>
        <w:jc w:val="center"/>
        <w:rPr>
          <w:b/>
          <w:sz w:val="28"/>
        </w:rPr>
      </w:pPr>
      <w:r>
        <w:rPr>
          <w:b/>
          <w:sz w:val="28"/>
        </w:rPr>
        <w:t>n</w:t>
      </w:r>
      <w:r w:rsidR="00BE36D6" w:rsidRPr="008C3672">
        <w:rPr>
          <w:b/>
          <w:sz w:val="28"/>
        </w:rPr>
        <w:t>a Javni poziv „Komunikacijska podrška društveno korisnim programima udruga“</w:t>
      </w:r>
    </w:p>
    <w:p w14:paraId="664CACC9" w14:textId="77777777" w:rsidR="00BE36D6" w:rsidRDefault="00BE36D6" w:rsidP="00BE36D6">
      <w:pPr>
        <w:rPr>
          <w:b/>
        </w:rPr>
      </w:pPr>
    </w:p>
    <w:tbl>
      <w:tblPr>
        <w:tblStyle w:val="TableGrid"/>
        <w:tblW w:w="0" w:type="auto"/>
        <w:tblLook w:val="04A0" w:firstRow="1" w:lastRow="0" w:firstColumn="1" w:lastColumn="0" w:noHBand="0" w:noVBand="1"/>
      </w:tblPr>
      <w:tblGrid>
        <w:gridCol w:w="9350"/>
      </w:tblGrid>
      <w:tr w:rsidR="00BE36D6" w14:paraId="1D0ADF1D" w14:textId="77777777" w:rsidTr="0054595D">
        <w:tc>
          <w:tcPr>
            <w:tcW w:w="9350" w:type="dxa"/>
          </w:tcPr>
          <w:p w14:paraId="268D7D41" w14:textId="77777777" w:rsidR="00BE36D6" w:rsidRDefault="00BE36D6" w:rsidP="0054595D">
            <w:pPr>
              <w:rPr>
                <w:b/>
                <w:sz w:val="24"/>
                <w:szCs w:val="24"/>
              </w:rPr>
            </w:pPr>
            <w:r>
              <w:rPr>
                <w:b/>
                <w:sz w:val="24"/>
                <w:szCs w:val="24"/>
              </w:rPr>
              <w:t>Uvjeti za podnošenje prijava:</w:t>
            </w:r>
          </w:p>
        </w:tc>
      </w:tr>
    </w:tbl>
    <w:p w14:paraId="451E0D5D" w14:textId="77777777" w:rsidR="00BE36D6" w:rsidRDefault="00BE36D6" w:rsidP="008C3672">
      <w:pPr>
        <w:jc w:val="both"/>
      </w:pPr>
    </w:p>
    <w:p w14:paraId="5D650C47" w14:textId="5DF2F5FD" w:rsidR="00CB0739" w:rsidRDefault="00A370CE" w:rsidP="00CB0739">
      <w:pPr>
        <w:numPr>
          <w:ilvl w:val="0"/>
          <w:numId w:val="4"/>
        </w:numPr>
        <w:spacing w:after="0" w:line="240" w:lineRule="auto"/>
        <w:contextualSpacing/>
        <w:jc w:val="both"/>
        <w:rPr>
          <w:sz w:val="24"/>
          <w:szCs w:val="24"/>
        </w:rPr>
      </w:pPr>
      <w:r w:rsidRPr="00A370CE">
        <w:rPr>
          <w:sz w:val="24"/>
          <w:szCs w:val="24"/>
        </w:rPr>
        <w:t xml:space="preserve">Javne kampanje koje se prijavljuju na </w:t>
      </w:r>
      <w:r w:rsidR="00DC2134">
        <w:rPr>
          <w:sz w:val="24"/>
          <w:szCs w:val="24"/>
        </w:rPr>
        <w:t>Poziv</w:t>
      </w:r>
      <w:r w:rsidRPr="00A370CE">
        <w:rPr>
          <w:sz w:val="24"/>
          <w:szCs w:val="24"/>
        </w:rPr>
        <w:t xml:space="preserve"> moraju se provoditi u razdoblju između 1. rujna </w:t>
      </w:r>
      <w:bookmarkStart w:id="0" w:name="_GoBack"/>
      <w:r w:rsidRPr="00C35B5C">
        <w:rPr>
          <w:color w:val="FF0000"/>
          <w:sz w:val="24"/>
          <w:szCs w:val="24"/>
        </w:rPr>
        <w:t>201</w:t>
      </w:r>
      <w:r w:rsidR="00A1260A" w:rsidRPr="00C35B5C">
        <w:rPr>
          <w:color w:val="FF0000"/>
          <w:sz w:val="24"/>
          <w:szCs w:val="24"/>
        </w:rPr>
        <w:t>9</w:t>
      </w:r>
      <w:bookmarkEnd w:id="0"/>
      <w:r w:rsidRPr="00A370CE">
        <w:rPr>
          <w:sz w:val="24"/>
          <w:szCs w:val="24"/>
        </w:rPr>
        <w:t>. do 30. studenoga 201</w:t>
      </w:r>
      <w:r w:rsidR="007C5C9E">
        <w:rPr>
          <w:sz w:val="24"/>
          <w:szCs w:val="24"/>
        </w:rPr>
        <w:t>9</w:t>
      </w:r>
      <w:r w:rsidRPr="00A370CE">
        <w:rPr>
          <w:sz w:val="24"/>
          <w:szCs w:val="24"/>
        </w:rPr>
        <w:t>. godine.</w:t>
      </w:r>
    </w:p>
    <w:p w14:paraId="5E480EA1" w14:textId="77777777" w:rsidR="00CB0739" w:rsidRPr="00CB0739" w:rsidRDefault="00CB0739" w:rsidP="00CB0739">
      <w:pPr>
        <w:spacing w:after="0" w:line="240" w:lineRule="auto"/>
        <w:ind w:left="360"/>
        <w:contextualSpacing/>
        <w:jc w:val="both"/>
        <w:rPr>
          <w:sz w:val="24"/>
          <w:szCs w:val="24"/>
        </w:rPr>
      </w:pPr>
    </w:p>
    <w:p w14:paraId="13B373A3" w14:textId="2CDFB9C5" w:rsidR="00A370CE" w:rsidRPr="00CB0739" w:rsidRDefault="00C450C0" w:rsidP="00CB0739">
      <w:pPr>
        <w:pStyle w:val="ListParagraph"/>
        <w:numPr>
          <w:ilvl w:val="0"/>
          <w:numId w:val="4"/>
        </w:numPr>
        <w:rPr>
          <w:sz w:val="24"/>
          <w:szCs w:val="24"/>
        </w:rPr>
      </w:pPr>
      <w:r>
        <w:rPr>
          <w:sz w:val="24"/>
          <w:szCs w:val="24"/>
        </w:rPr>
        <w:t>Udruga</w:t>
      </w:r>
      <w:r w:rsidR="00CB0739" w:rsidRPr="00CB0739">
        <w:rPr>
          <w:sz w:val="24"/>
          <w:szCs w:val="24"/>
        </w:rPr>
        <w:t xml:space="preserve"> promovira svoje aktivnosti u okviru Dana otvorenih vrata udruga te je do trenutka prijave na Poziv prijavila svoje sudjelova</w:t>
      </w:r>
      <w:r w:rsidR="00CB0739">
        <w:rPr>
          <w:sz w:val="24"/>
          <w:szCs w:val="24"/>
        </w:rPr>
        <w:t xml:space="preserve">nje putem aplikacije </w:t>
      </w:r>
      <w:proofErr w:type="spellStart"/>
      <w:r w:rsidR="00CB0739" w:rsidRPr="00CB0739">
        <w:rPr>
          <w:i/>
          <w:sz w:val="24"/>
          <w:szCs w:val="24"/>
        </w:rPr>
        <w:t>UdrugeInfo</w:t>
      </w:r>
      <w:proofErr w:type="spellEnd"/>
      <w:r w:rsidR="00CB0739">
        <w:rPr>
          <w:sz w:val="24"/>
          <w:szCs w:val="24"/>
        </w:rPr>
        <w:t>.</w:t>
      </w:r>
    </w:p>
    <w:p w14:paraId="6667FA32" w14:textId="544E63CC" w:rsidR="00A370CE" w:rsidRPr="00A370CE" w:rsidRDefault="00A370CE" w:rsidP="008C3672">
      <w:pPr>
        <w:numPr>
          <w:ilvl w:val="0"/>
          <w:numId w:val="4"/>
        </w:numPr>
        <w:spacing w:after="0" w:line="240" w:lineRule="auto"/>
        <w:contextualSpacing/>
        <w:jc w:val="both"/>
        <w:rPr>
          <w:sz w:val="24"/>
          <w:szCs w:val="24"/>
        </w:rPr>
      </w:pPr>
      <w:r w:rsidRPr="00A370CE">
        <w:rPr>
          <w:sz w:val="24"/>
          <w:szCs w:val="24"/>
        </w:rPr>
        <w:t xml:space="preserve">Sukladno Pozivu objavljenom na mrežnim stranicama Ureda za udruge, prijavitelj može biti udruga koja </w:t>
      </w:r>
      <w:r w:rsidR="00F25227">
        <w:rPr>
          <w:sz w:val="24"/>
          <w:szCs w:val="24"/>
        </w:rPr>
        <w:t>ispunjava sljedeće uvjete</w:t>
      </w:r>
      <w:r w:rsidRPr="00A370CE">
        <w:rPr>
          <w:sz w:val="24"/>
          <w:szCs w:val="24"/>
        </w:rPr>
        <w:t>:</w:t>
      </w:r>
    </w:p>
    <w:p w14:paraId="3DF64308" w14:textId="77777777" w:rsidR="00A370CE" w:rsidRPr="00A370CE" w:rsidRDefault="00A370CE" w:rsidP="008C3672">
      <w:pPr>
        <w:spacing w:after="0" w:line="240" w:lineRule="auto"/>
        <w:jc w:val="both"/>
        <w:rPr>
          <w:sz w:val="24"/>
          <w:szCs w:val="24"/>
        </w:rPr>
      </w:pPr>
    </w:p>
    <w:p w14:paraId="74BB6C23" w14:textId="353D37AD" w:rsidR="00A370CE" w:rsidRPr="00F25227" w:rsidRDefault="00F25227" w:rsidP="008C3672">
      <w:pPr>
        <w:numPr>
          <w:ilvl w:val="0"/>
          <w:numId w:val="11"/>
        </w:numPr>
        <w:spacing w:after="0" w:line="240" w:lineRule="auto"/>
        <w:contextualSpacing/>
        <w:jc w:val="both"/>
        <w:rPr>
          <w:sz w:val="24"/>
          <w:szCs w:val="24"/>
        </w:rPr>
      </w:pPr>
      <w:r>
        <w:rPr>
          <w:sz w:val="24"/>
          <w:szCs w:val="24"/>
        </w:rPr>
        <w:t>upisana je u Registar udruga;</w:t>
      </w:r>
    </w:p>
    <w:p w14:paraId="3FABFDE9" w14:textId="475605EB" w:rsidR="00A370CE" w:rsidRPr="00A370CE" w:rsidRDefault="00A370CE" w:rsidP="008C3672">
      <w:pPr>
        <w:numPr>
          <w:ilvl w:val="0"/>
          <w:numId w:val="11"/>
        </w:numPr>
        <w:spacing w:after="0" w:line="240" w:lineRule="auto"/>
        <w:contextualSpacing/>
        <w:jc w:val="both"/>
        <w:rPr>
          <w:sz w:val="24"/>
          <w:szCs w:val="24"/>
        </w:rPr>
      </w:pPr>
      <w:r w:rsidRPr="00A370CE">
        <w:rPr>
          <w:sz w:val="24"/>
          <w:szCs w:val="24"/>
        </w:rPr>
        <w:t>uskladila</w:t>
      </w:r>
      <w:r w:rsidR="00F25227">
        <w:rPr>
          <w:sz w:val="24"/>
          <w:szCs w:val="24"/>
        </w:rPr>
        <w:t xml:space="preserve"> je</w:t>
      </w:r>
      <w:r w:rsidRPr="00A370CE">
        <w:rPr>
          <w:sz w:val="24"/>
          <w:szCs w:val="24"/>
        </w:rPr>
        <w:t xml:space="preserve"> svoj statut sa Zakonom o udrugama (NN 74/2014) ili je podnijela zahtjev za usklađ</w:t>
      </w:r>
      <w:r w:rsidR="00F25227">
        <w:rPr>
          <w:sz w:val="24"/>
          <w:szCs w:val="24"/>
        </w:rPr>
        <w:t>ivanje statuta nadležnom uredu (</w:t>
      </w:r>
      <w:r w:rsidRPr="00A370CE">
        <w:rPr>
          <w:sz w:val="24"/>
          <w:szCs w:val="24"/>
        </w:rPr>
        <w:t>što se dokazuje potvrdom nadležnog ureda), a sukladno uvidu u Registar udruga osoba ovlaštena za zastupanje udruge (i potpisivanje ugovora o financiranju) je u mandatu</w:t>
      </w:r>
      <w:r w:rsidR="00C9309F">
        <w:rPr>
          <w:sz w:val="24"/>
          <w:szCs w:val="24"/>
        </w:rPr>
        <w:t>;</w:t>
      </w:r>
    </w:p>
    <w:p w14:paraId="44389E6C" w14:textId="4A2DF29E" w:rsidR="00A370CE" w:rsidRPr="00A370CE" w:rsidRDefault="00A370CE" w:rsidP="008C3672">
      <w:pPr>
        <w:numPr>
          <w:ilvl w:val="0"/>
          <w:numId w:val="11"/>
        </w:numPr>
        <w:spacing w:after="0" w:line="240" w:lineRule="auto"/>
        <w:contextualSpacing/>
        <w:jc w:val="both"/>
        <w:rPr>
          <w:sz w:val="24"/>
          <w:szCs w:val="24"/>
        </w:rPr>
      </w:pPr>
      <w:r w:rsidRPr="00A370CE">
        <w:rPr>
          <w:sz w:val="24"/>
          <w:szCs w:val="24"/>
        </w:rPr>
        <w:t xml:space="preserve">svojim statutom opredijelila </w:t>
      </w:r>
      <w:r w:rsidR="00F25227">
        <w:rPr>
          <w:sz w:val="24"/>
          <w:szCs w:val="24"/>
        </w:rPr>
        <w:t xml:space="preserve">se </w:t>
      </w:r>
      <w:r w:rsidRPr="00A370CE">
        <w:rPr>
          <w:sz w:val="24"/>
          <w:szCs w:val="24"/>
        </w:rPr>
        <w:t>za obavljanje djelatnosti i aktivnosti koje su predmet javnog poziva i kojima promiče uvjerenja i ciljeve koji nisu u suprotnosti s Ustavom i zakonom</w:t>
      </w:r>
      <w:r w:rsidR="00C9309F">
        <w:rPr>
          <w:sz w:val="24"/>
          <w:szCs w:val="24"/>
        </w:rPr>
        <w:t>;</w:t>
      </w:r>
    </w:p>
    <w:p w14:paraId="4B2279B6" w14:textId="5FC186F7" w:rsidR="00A370CE" w:rsidRPr="00A370CE" w:rsidRDefault="00A370CE" w:rsidP="008C3672">
      <w:pPr>
        <w:numPr>
          <w:ilvl w:val="0"/>
          <w:numId w:val="11"/>
        </w:numPr>
        <w:spacing w:after="0" w:line="240" w:lineRule="auto"/>
        <w:contextualSpacing/>
        <w:jc w:val="both"/>
        <w:rPr>
          <w:sz w:val="24"/>
          <w:szCs w:val="24"/>
        </w:rPr>
      </w:pPr>
      <w:r w:rsidRPr="00A370CE">
        <w:rPr>
          <w:sz w:val="24"/>
          <w:szCs w:val="24"/>
        </w:rPr>
        <w:t>upisana</w:t>
      </w:r>
      <w:r w:rsidR="00F25227">
        <w:rPr>
          <w:sz w:val="24"/>
          <w:szCs w:val="24"/>
        </w:rPr>
        <w:t xml:space="preserve"> je </w:t>
      </w:r>
      <w:r w:rsidRPr="00A370CE">
        <w:rPr>
          <w:sz w:val="24"/>
          <w:szCs w:val="24"/>
        </w:rPr>
        <w:t>u Registar neprofitnih organizacija i vodi transparentno financijsko poslovanje</w:t>
      </w:r>
      <w:r w:rsidRPr="00A370CE">
        <w:rPr>
          <w:sz w:val="24"/>
          <w:szCs w:val="24"/>
          <w:vertAlign w:val="superscript"/>
        </w:rPr>
        <w:footnoteReference w:id="1"/>
      </w:r>
      <w:r w:rsidR="00C9309F">
        <w:rPr>
          <w:sz w:val="24"/>
          <w:szCs w:val="24"/>
        </w:rPr>
        <w:t>;</w:t>
      </w:r>
    </w:p>
    <w:p w14:paraId="799DBBC3" w14:textId="5E576233" w:rsidR="00A370CE" w:rsidRPr="00A370CE" w:rsidRDefault="00A370CE" w:rsidP="008C3672">
      <w:pPr>
        <w:numPr>
          <w:ilvl w:val="0"/>
          <w:numId w:val="11"/>
        </w:numPr>
        <w:spacing w:after="0" w:line="240" w:lineRule="auto"/>
        <w:contextualSpacing/>
        <w:jc w:val="both"/>
        <w:rPr>
          <w:sz w:val="24"/>
          <w:szCs w:val="24"/>
        </w:rPr>
      </w:pPr>
      <w:r w:rsidRPr="00A370CE">
        <w:rPr>
          <w:sz w:val="24"/>
          <w:szCs w:val="24"/>
        </w:rPr>
        <w:t>uredno ispunjava ugovorne obveze iz svih prethodno sklopljenih ugovora o dodjeli bespovratnih sredstava prema Uredu za udruge te svim drugim davateljima financijskih sredstava iz javnih izvora što potvrđuje izjavom koju potpisuje osoba ovlaštena za zastupanje</w:t>
      </w:r>
      <w:r w:rsidR="00C9309F">
        <w:rPr>
          <w:sz w:val="24"/>
          <w:szCs w:val="24"/>
        </w:rPr>
        <w:t>;</w:t>
      </w:r>
    </w:p>
    <w:p w14:paraId="3339189C" w14:textId="595F173E" w:rsidR="00A370CE" w:rsidRPr="00A370CE" w:rsidRDefault="00A370CE" w:rsidP="008C3672">
      <w:pPr>
        <w:numPr>
          <w:ilvl w:val="0"/>
          <w:numId w:val="11"/>
        </w:numPr>
        <w:spacing w:after="0" w:line="240" w:lineRule="auto"/>
        <w:contextualSpacing/>
        <w:jc w:val="both"/>
        <w:rPr>
          <w:sz w:val="24"/>
          <w:szCs w:val="24"/>
        </w:rPr>
      </w:pPr>
      <w:r w:rsidRPr="00A370CE">
        <w:rPr>
          <w:sz w:val="24"/>
          <w:szCs w:val="24"/>
        </w:rPr>
        <w:lastRenderedPageBreak/>
        <w:t>uredno ispunjava obveze plaćanja doprinosa za mirovinsko i zdravstveno osiguranje i plaćanja poreza te druga davanja prema državnom proračunu i proračunima jedinica lokalne samouprave</w:t>
      </w:r>
      <w:r w:rsidR="00C9309F">
        <w:rPr>
          <w:sz w:val="24"/>
          <w:szCs w:val="24"/>
        </w:rPr>
        <w:t>;</w:t>
      </w:r>
      <w:r w:rsidRPr="00A370CE">
        <w:rPr>
          <w:sz w:val="24"/>
          <w:szCs w:val="24"/>
        </w:rPr>
        <w:t xml:space="preserve"> </w:t>
      </w:r>
    </w:p>
    <w:p w14:paraId="3071DA63" w14:textId="4325F498" w:rsidR="00A370CE" w:rsidRPr="00A370CE" w:rsidRDefault="00A370CE" w:rsidP="008C3672">
      <w:pPr>
        <w:numPr>
          <w:ilvl w:val="0"/>
          <w:numId w:val="11"/>
        </w:numPr>
        <w:spacing w:after="0" w:line="240" w:lineRule="auto"/>
        <w:contextualSpacing/>
        <w:jc w:val="both"/>
        <w:rPr>
          <w:sz w:val="24"/>
          <w:szCs w:val="24"/>
        </w:rPr>
      </w:pPr>
      <w:r w:rsidRPr="00A370CE">
        <w:rPr>
          <w:sz w:val="24"/>
          <w:szCs w:val="24"/>
        </w:rPr>
        <w:t>protiv udruge, odnosno osobe ovlaštene za zastupanje udruge i voditelja javne kampanje ne vodi se kazneni postupak i nije pravomoćno osuđena za počinjenje kaznenog djela određenog člankom 48. stavkom 2. alinejom d) Uredbe o kriterijima, mjerilima i postupcima financiranja i ugovaranja programa i projekata od interesa za opće dobro koje provode udruge (Narodne novine 26/2015)</w:t>
      </w:r>
      <w:r w:rsidR="00C9309F">
        <w:rPr>
          <w:sz w:val="24"/>
          <w:szCs w:val="24"/>
        </w:rPr>
        <w:t>.</w:t>
      </w:r>
      <w:r w:rsidRPr="00A370CE">
        <w:rPr>
          <w:sz w:val="24"/>
          <w:szCs w:val="24"/>
        </w:rPr>
        <w:t xml:space="preserve"> </w:t>
      </w:r>
    </w:p>
    <w:p w14:paraId="1AD3C6E8" w14:textId="77777777" w:rsidR="00A370CE" w:rsidRDefault="00A370CE" w:rsidP="008C3672">
      <w:pPr>
        <w:jc w:val="both"/>
      </w:pPr>
    </w:p>
    <w:p w14:paraId="49827BEF" w14:textId="09B76400" w:rsidR="00A370CE" w:rsidRDefault="00A370CE" w:rsidP="008C3672">
      <w:pPr>
        <w:spacing w:after="0" w:line="240" w:lineRule="auto"/>
        <w:jc w:val="both"/>
        <w:rPr>
          <w:sz w:val="24"/>
          <w:szCs w:val="24"/>
        </w:rPr>
      </w:pPr>
      <w:r w:rsidRPr="00A370CE">
        <w:rPr>
          <w:sz w:val="24"/>
          <w:szCs w:val="24"/>
        </w:rPr>
        <w:t xml:space="preserve">Također, udruga kojoj će se dodijeliti </w:t>
      </w:r>
      <w:r w:rsidR="00CB0739">
        <w:rPr>
          <w:sz w:val="24"/>
          <w:szCs w:val="24"/>
        </w:rPr>
        <w:t>sredstva</w:t>
      </w:r>
      <w:r w:rsidRPr="00A370CE">
        <w:rPr>
          <w:sz w:val="24"/>
          <w:szCs w:val="24"/>
        </w:rPr>
        <w:t xml:space="preserve"> mora imati:</w:t>
      </w:r>
    </w:p>
    <w:p w14:paraId="1BE0DA75" w14:textId="77777777" w:rsidR="00DC2134" w:rsidRPr="00A370CE" w:rsidRDefault="00DC2134" w:rsidP="008C3672">
      <w:pPr>
        <w:spacing w:after="0" w:line="240" w:lineRule="auto"/>
        <w:jc w:val="both"/>
        <w:rPr>
          <w:sz w:val="24"/>
          <w:szCs w:val="24"/>
        </w:rPr>
      </w:pPr>
    </w:p>
    <w:p w14:paraId="2DD96EDF" w14:textId="1DE67F47" w:rsidR="00A370CE" w:rsidRPr="00A370CE" w:rsidRDefault="00A370CE" w:rsidP="008C3672">
      <w:pPr>
        <w:numPr>
          <w:ilvl w:val="0"/>
          <w:numId w:val="5"/>
        </w:numPr>
        <w:spacing w:after="0" w:line="240" w:lineRule="auto"/>
        <w:contextualSpacing/>
        <w:jc w:val="both"/>
        <w:rPr>
          <w:sz w:val="24"/>
          <w:szCs w:val="24"/>
        </w:rPr>
      </w:pPr>
      <w:r w:rsidRPr="00A370CE">
        <w:rPr>
          <w:sz w:val="24"/>
          <w:szCs w:val="24"/>
        </w:rPr>
        <w:t>općim aktom uspostavljen model dobrog financijskog upravljanja i kontrola te način sprječavanja sukoba interesa pri raspolaganju javnim sredstvima</w:t>
      </w:r>
      <w:r w:rsidR="00C450C0">
        <w:rPr>
          <w:sz w:val="24"/>
          <w:szCs w:val="24"/>
        </w:rPr>
        <w:t>;</w:t>
      </w:r>
      <w:r w:rsidRPr="00A370CE">
        <w:rPr>
          <w:sz w:val="24"/>
          <w:szCs w:val="24"/>
        </w:rPr>
        <w:t xml:space="preserve"> </w:t>
      </w:r>
    </w:p>
    <w:p w14:paraId="097F1BD6" w14:textId="2EAD8FED" w:rsidR="00A370CE" w:rsidRPr="00A370CE" w:rsidRDefault="00A370CE" w:rsidP="008C3672">
      <w:pPr>
        <w:numPr>
          <w:ilvl w:val="0"/>
          <w:numId w:val="5"/>
        </w:numPr>
        <w:spacing w:after="0" w:line="240" w:lineRule="auto"/>
        <w:contextualSpacing/>
        <w:jc w:val="both"/>
        <w:rPr>
          <w:sz w:val="24"/>
          <w:szCs w:val="24"/>
        </w:rPr>
      </w:pPr>
      <w:r w:rsidRPr="00A370CE">
        <w:rPr>
          <w:sz w:val="24"/>
          <w:szCs w:val="24"/>
        </w:rPr>
        <w:t>prikladan način javnog objavljivanja programskog i financijskog izvještaja o radu za proteklu godinu (na mrežnim stranicama udruge, odnosno na drugi odgovarajući način)</w:t>
      </w:r>
      <w:r w:rsidR="00C450C0">
        <w:rPr>
          <w:sz w:val="24"/>
          <w:szCs w:val="24"/>
        </w:rPr>
        <w:t>;</w:t>
      </w:r>
    </w:p>
    <w:p w14:paraId="6C5B8468" w14:textId="5377355D" w:rsidR="00A370CE" w:rsidRPr="00A370CE" w:rsidRDefault="00A370CE" w:rsidP="008C3672">
      <w:pPr>
        <w:numPr>
          <w:ilvl w:val="0"/>
          <w:numId w:val="5"/>
        </w:numPr>
        <w:spacing w:after="0" w:line="240" w:lineRule="auto"/>
        <w:contextualSpacing/>
        <w:jc w:val="both"/>
        <w:rPr>
          <w:sz w:val="24"/>
          <w:szCs w:val="24"/>
        </w:rPr>
      </w:pPr>
      <w:r w:rsidRPr="00A370CE">
        <w:rPr>
          <w:sz w:val="24"/>
          <w:szCs w:val="24"/>
        </w:rPr>
        <w:t>odgovarajuće organizacijske kapacitete i ljudske resurse za provedbu aktivnosti koje se planiraju promovirati putem javne kampanje</w:t>
      </w:r>
      <w:r w:rsidR="00C450C0">
        <w:rPr>
          <w:sz w:val="24"/>
          <w:szCs w:val="24"/>
        </w:rPr>
        <w:t>.</w:t>
      </w:r>
    </w:p>
    <w:p w14:paraId="0DF3754F" w14:textId="77777777" w:rsidR="00A370CE" w:rsidRPr="00C9309F" w:rsidRDefault="00A370CE" w:rsidP="008C3672">
      <w:pPr>
        <w:jc w:val="both"/>
        <w:rPr>
          <w:sz w:val="24"/>
        </w:rPr>
      </w:pPr>
    </w:p>
    <w:p w14:paraId="4FE7FDFD" w14:textId="00AE76D8" w:rsidR="00A370CE" w:rsidRPr="00DC2134" w:rsidRDefault="00DC2134" w:rsidP="00063451">
      <w:pPr>
        <w:pBdr>
          <w:top w:val="single" w:sz="4" w:space="1" w:color="auto"/>
          <w:left w:val="single" w:sz="4" w:space="4" w:color="auto"/>
          <w:bottom w:val="single" w:sz="4" w:space="1" w:color="auto"/>
          <w:right w:val="single" w:sz="4" w:space="4" w:color="auto"/>
        </w:pBdr>
        <w:jc w:val="both"/>
        <w:rPr>
          <w:b/>
          <w:sz w:val="24"/>
        </w:rPr>
      </w:pPr>
      <w:r w:rsidRPr="00DC2134">
        <w:rPr>
          <w:b/>
          <w:sz w:val="24"/>
        </w:rPr>
        <w:t>Prihvatljive aktivnosti</w:t>
      </w:r>
    </w:p>
    <w:p w14:paraId="1207A5C9" w14:textId="55185AD9" w:rsidR="00A370CE" w:rsidRPr="00C9309F" w:rsidRDefault="00C450C0" w:rsidP="00C25DCD">
      <w:pPr>
        <w:numPr>
          <w:ilvl w:val="0"/>
          <w:numId w:val="6"/>
        </w:numPr>
        <w:spacing w:after="0"/>
        <w:jc w:val="both"/>
        <w:rPr>
          <w:sz w:val="24"/>
        </w:rPr>
      </w:pPr>
      <w:r>
        <w:rPr>
          <w:sz w:val="24"/>
        </w:rPr>
        <w:t>jačanje kapaciteta udruge</w:t>
      </w:r>
      <w:r w:rsidR="00A370CE" w:rsidRPr="00C9309F">
        <w:rPr>
          <w:sz w:val="24"/>
        </w:rPr>
        <w:t xml:space="preserve"> za komunikaciju s javnošću</w:t>
      </w:r>
      <w:r w:rsidR="00DC2134">
        <w:rPr>
          <w:sz w:val="24"/>
        </w:rPr>
        <w:t>;</w:t>
      </w:r>
    </w:p>
    <w:p w14:paraId="4A6FBF73" w14:textId="0CC4365B" w:rsidR="00A370CE" w:rsidRPr="00C9309F" w:rsidRDefault="00A370CE" w:rsidP="00C25DCD">
      <w:pPr>
        <w:numPr>
          <w:ilvl w:val="0"/>
          <w:numId w:val="6"/>
        </w:numPr>
        <w:spacing w:after="0"/>
        <w:jc w:val="both"/>
        <w:rPr>
          <w:sz w:val="24"/>
        </w:rPr>
      </w:pPr>
      <w:r w:rsidRPr="00C9309F">
        <w:rPr>
          <w:sz w:val="24"/>
        </w:rPr>
        <w:t>promocija aktivnosti na društvenim mrežama</w:t>
      </w:r>
      <w:r w:rsidR="00DC2134">
        <w:rPr>
          <w:sz w:val="24"/>
        </w:rPr>
        <w:t>;</w:t>
      </w:r>
    </w:p>
    <w:p w14:paraId="3C1077CB" w14:textId="268B2F24" w:rsidR="00A370CE" w:rsidRPr="00C9309F" w:rsidRDefault="00C450C0" w:rsidP="00C25DCD">
      <w:pPr>
        <w:numPr>
          <w:ilvl w:val="0"/>
          <w:numId w:val="6"/>
        </w:numPr>
        <w:spacing w:after="0"/>
        <w:jc w:val="both"/>
        <w:rPr>
          <w:sz w:val="24"/>
        </w:rPr>
      </w:pPr>
      <w:r>
        <w:rPr>
          <w:sz w:val="24"/>
        </w:rPr>
        <w:t xml:space="preserve">izrada </w:t>
      </w:r>
      <w:r w:rsidR="00A370CE" w:rsidRPr="00C9309F">
        <w:rPr>
          <w:sz w:val="24"/>
        </w:rPr>
        <w:t>i emitiranje video i radijskih spotova</w:t>
      </w:r>
      <w:r w:rsidR="00DC2134">
        <w:rPr>
          <w:sz w:val="24"/>
        </w:rPr>
        <w:t>;</w:t>
      </w:r>
    </w:p>
    <w:p w14:paraId="5ED0787E" w14:textId="0931F422" w:rsidR="00A370CE" w:rsidRPr="00C9309F" w:rsidRDefault="00A370CE" w:rsidP="00C25DCD">
      <w:pPr>
        <w:numPr>
          <w:ilvl w:val="0"/>
          <w:numId w:val="6"/>
        </w:numPr>
        <w:spacing w:after="0"/>
        <w:jc w:val="both"/>
        <w:rPr>
          <w:sz w:val="24"/>
        </w:rPr>
      </w:pPr>
      <w:r w:rsidRPr="00C9309F">
        <w:rPr>
          <w:sz w:val="24"/>
        </w:rPr>
        <w:t>javna prezentacija aktivnosti usmjerenih na solidarnost u zajednici</w:t>
      </w:r>
      <w:r w:rsidR="00DC2134">
        <w:rPr>
          <w:sz w:val="24"/>
        </w:rPr>
        <w:t>;</w:t>
      </w:r>
    </w:p>
    <w:p w14:paraId="7EAB5A21" w14:textId="031C118D" w:rsidR="00A370CE" w:rsidRDefault="00C450C0" w:rsidP="00C25DCD">
      <w:pPr>
        <w:numPr>
          <w:ilvl w:val="0"/>
          <w:numId w:val="6"/>
        </w:numPr>
        <w:spacing w:after="0"/>
        <w:jc w:val="both"/>
        <w:rPr>
          <w:sz w:val="24"/>
        </w:rPr>
      </w:pPr>
      <w:r>
        <w:rPr>
          <w:sz w:val="24"/>
        </w:rPr>
        <w:t xml:space="preserve">izrada </w:t>
      </w:r>
      <w:r w:rsidR="00A370CE" w:rsidRPr="00C9309F">
        <w:rPr>
          <w:sz w:val="24"/>
        </w:rPr>
        <w:t>i distribucija promotivnih materijala</w:t>
      </w:r>
      <w:r w:rsidR="00DC2134">
        <w:rPr>
          <w:sz w:val="24"/>
        </w:rPr>
        <w:t>.</w:t>
      </w:r>
    </w:p>
    <w:p w14:paraId="2C70B807" w14:textId="77777777" w:rsidR="00C84A5A" w:rsidRPr="00C9309F" w:rsidRDefault="00C84A5A" w:rsidP="00C84A5A">
      <w:pPr>
        <w:spacing w:after="0"/>
        <w:ind w:left="420"/>
        <w:jc w:val="both"/>
        <w:rPr>
          <w:sz w:val="24"/>
        </w:rPr>
      </w:pPr>
    </w:p>
    <w:p w14:paraId="342518B5" w14:textId="46B9F394" w:rsidR="00A370CE" w:rsidRPr="00C9309F" w:rsidRDefault="00A370CE" w:rsidP="008C3672">
      <w:pPr>
        <w:jc w:val="both"/>
        <w:rPr>
          <w:sz w:val="24"/>
        </w:rPr>
      </w:pPr>
      <w:r w:rsidRPr="00C9309F">
        <w:rPr>
          <w:sz w:val="24"/>
        </w:rPr>
        <w:t xml:space="preserve">Popis aktivnosti nije konačan, već samo ilustrativan te će se odgovarajuće aktivnosti koje doprinose ostvarenju ciljeva </w:t>
      </w:r>
      <w:r w:rsidR="00C25DCD">
        <w:rPr>
          <w:sz w:val="24"/>
        </w:rPr>
        <w:t>Javnog poziva</w:t>
      </w:r>
      <w:r w:rsidRPr="00C9309F">
        <w:rPr>
          <w:sz w:val="24"/>
        </w:rPr>
        <w:t>, a koje nisu spomenute gore, također uzeti u obzir za financiranje.</w:t>
      </w:r>
    </w:p>
    <w:p w14:paraId="0E31A72E" w14:textId="66C24D1B" w:rsidR="00A370CE" w:rsidRPr="00C9309F" w:rsidRDefault="00A370CE" w:rsidP="008C3672">
      <w:pPr>
        <w:jc w:val="both"/>
        <w:rPr>
          <w:sz w:val="24"/>
        </w:rPr>
      </w:pPr>
      <w:r w:rsidRPr="00C9309F">
        <w:rPr>
          <w:sz w:val="24"/>
        </w:rPr>
        <w:t>Pri provedbi aktivnosti prijavitelj mora osigurati poštovanje načela jednakih mogućnosti, ravnopravnosti spolova i nediskriminacije te razvijati aktivnosti u skladu s potrebama u zajednici.</w:t>
      </w:r>
    </w:p>
    <w:p w14:paraId="21E757DE" w14:textId="77777777" w:rsidR="00A370CE" w:rsidRPr="00A370CE" w:rsidRDefault="00A370CE" w:rsidP="008C3672">
      <w:pPr>
        <w:jc w:val="both"/>
      </w:pPr>
    </w:p>
    <w:p w14:paraId="4322B66A" w14:textId="77777777" w:rsidR="00A370CE" w:rsidRPr="00C9309F" w:rsidRDefault="00A370CE" w:rsidP="00063451">
      <w:pPr>
        <w:pBdr>
          <w:top w:val="single" w:sz="4" w:space="1" w:color="auto"/>
          <w:left w:val="single" w:sz="4" w:space="4" w:color="auto"/>
          <w:bottom w:val="single" w:sz="4" w:space="1" w:color="auto"/>
          <w:right w:val="single" w:sz="4" w:space="4" w:color="auto"/>
        </w:pBdr>
        <w:jc w:val="both"/>
        <w:rPr>
          <w:b/>
          <w:sz w:val="24"/>
        </w:rPr>
      </w:pPr>
      <w:r w:rsidRPr="00C9309F">
        <w:rPr>
          <w:b/>
          <w:sz w:val="24"/>
        </w:rPr>
        <w:t xml:space="preserve">Prihvatljivi troškovi </w:t>
      </w:r>
    </w:p>
    <w:p w14:paraId="5B058380" w14:textId="1C36606E" w:rsidR="00A370CE" w:rsidRPr="00C9309F" w:rsidRDefault="00A370CE" w:rsidP="008C3672">
      <w:pPr>
        <w:jc w:val="both"/>
        <w:rPr>
          <w:sz w:val="24"/>
        </w:rPr>
      </w:pPr>
      <w:r w:rsidRPr="00C9309F">
        <w:rPr>
          <w:sz w:val="24"/>
        </w:rPr>
        <w:t xml:space="preserve">Sredstvima ovog </w:t>
      </w:r>
      <w:r w:rsidR="00C25DCD">
        <w:rPr>
          <w:sz w:val="24"/>
        </w:rPr>
        <w:t>Javnog p</w:t>
      </w:r>
      <w:r w:rsidRPr="00C9309F">
        <w:rPr>
          <w:sz w:val="24"/>
        </w:rPr>
        <w:t xml:space="preserve">oziva mogu se financirati samo stvarni i prihvatljivi troškovi, nastali provođenjem aktivnosti u vremenskom razdoblju naznačenom u ovim Uputama. Prilikom </w:t>
      </w:r>
      <w:r w:rsidRPr="00C9309F">
        <w:rPr>
          <w:sz w:val="24"/>
        </w:rPr>
        <w:lastRenderedPageBreak/>
        <w:t xml:space="preserve">procjene prijave, ocjenjivat će se </w:t>
      </w:r>
      <w:r w:rsidR="00B82FE5">
        <w:rPr>
          <w:sz w:val="24"/>
        </w:rPr>
        <w:t>opravdanost</w:t>
      </w:r>
      <w:r w:rsidRPr="00C9309F">
        <w:rPr>
          <w:sz w:val="24"/>
        </w:rPr>
        <w:t xml:space="preserve"> troškova u odnosu na predviđene aktivnosti, kao i realnost visine navedenih troškova. </w:t>
      </w:r>
    </w:p>
    <w:p w14:paraId="7EAC8A9E" w14:textId="77777777" w:rsidR="00A370CE" w:rsidRPr="00C9309F" w:rsidRDefault="00A370CE" w:rsidP="008C3672">
      <w:pPr>
        <w:jc w:val="both"/>
        <w:rPr>
          <w:sz w:val="24"/>
          <w:szCs w:val="24"/>
        </w:rPr>
      </w:pPr>
      <w:r w:rsidRPr="008C3672">
        <w:rPr>
          <w:sz w:val="24"/>
          <w:szCs w:val="24"/>
        </w:rPr>
        <w:t xml:space="preserve">Pod </w:t>
      </w:r>
      <w:r w:rsidRPr="008C3672">
        <w:rPr>
          <w:b/>
          <w:sz w:val="24"/>
          <w:szCs w:val="24"/>
        </w:rPr>
        <w:t>prihvatljivim</w:t>
      </w:r>
      <w:r w:rsidRPr="008C3672">
        <w:rPr>
          <w:sz w:val="24"/>
          <w:szCs w:val="24"/>
        </w:rPr>
        <w:t xml:space="preserve"> </w:t>
      </w:r>
      <w:r w:rsidRPr="008C3672">
        <w:rPr>
          <w:b/>
          <w:sz w:val="24"/>
          <w:szCs w:val="24"/>
        </w:rPr>
        <w:t>troškovima</w:t>
      </w:r>
      <w:r w:rsidRPr="008C3672">
        <w:rPr>
          <w:sz w:val="24"/>
          <w:szCs w:val="24"/>
        </w:rPr>
        <w:t xml:space="preserve"> </w:t>
      </w:r>
      <w:r w:rsidRPr="00C9309F">
        <w:rPr>
          <w:sz w:val="24"/>
          <w:szCs w:val="24"/>
        </w:rPr>
        <w:t xml:space="preserve">podrazumijevaju se troškovi koji su neposredno povezani uz provedbu pojedinih aktivnosti kao što su: </w:t>
      </w:r>
    </w:p>
    <w:p w14:paraId="3C4EC2B7" w14:textId="41D0A41D" w:rsidR="00A370CE" w:rsidRPr="00C9309F" w:rsidRDefault="00DC2134" w:rsidP="00C25DCD">
      <w:pPr>
        <w:numPr>
          <w:ilvl w:val="0"/>
          <w:numId w:val="7"/>
        </w:numPr>
        <w:spacing w:after="0"/>
        <w:jc w:val="both"/>
        <w:rPr>
          <w:sz w:val="24"/>
          <w:szCs w:val="24"/>
        </w:rPr>
      </w:pPr>
      <w:r>
        <w:rPr>
          <w:sz w:val="24"/>
          <w:szCs w:val="24"/>
        </w:rPr>
        <w:t>materijal za aktivnosti;</w:t>
      </w:r>
    </w:p>
    <w:p w14:paraId="3490AEF0" w14:textId="0F7A44C0" w:rsidR="00A370CE" w:rsidRPr="00C9309F" w:rsidRDefault="00A370CE" w:rsidP="00C25DCD">
      <w:pPr>
        <w:numPr>
          <w:ilvl w:val="0"/>
          <w:numId w:val="7"/>
        </w:numPr>
        <w:spacing w:after="0"/>
        <w:jc w:val="both"/>
        <w:rPr>
          <w:sz w:val="24"/>
          <w:szCs w:val="24"/>
        </w:rPr>
      </w:pPr>
      <w:r w:rsidRPr="00C9309F">
        <w:rPr>
          <w:sz w:val="24"/>
          <w:szCs w:val="24"/>
        </w:rPr>
        <w:t>grafičke usluge (grafička priprema, usluge tiskanja letaka, brošura, časopisa i sl. pri čemu treba navesti vrstu i namjenu uslu</w:t>
      </w:r>
      <w:r w:rsidR="00DC2134">
        <w:rPr>
          <w:sz w:val="24"/>
          <w:szCs w:val="24"/>
        </w:rPr>
        <w:t>ge, količinu, jedinične cijene);</w:t>
      </w:r>
      <w:r w:rsidRPr="00C9309F">
        <w:rPr>
          <w:sz w:val="24"/>
          <w:szCs w:val="24"/>
        </w:rPr>
        <w:t xml:space="preserve"> </w:t>
      </w:r>
    </w:p>
    <w:p w14:paraId="2D93F977" w14:textId="4741A7E6" w:rsidR="00A370CE" w:rsidRPr="00C9309F" w:rsidRDefault="00A370CE" w:rsidP="00C25DCD">
      <w:pPr>
        <w:numPr>
          <w:ilvl w:val="0"/>
          <w:numId w:val="7"/>
        </w:numPr>
        <w:spacing w:after="0"/>
        <w:jc w:val="both"/>
        <w:rPr>
          <w:sz w:val="24"/>
          <w:szCs w:val="24"/>
        </w:rPr>
      </w:pPr>
      <w:r w:rsidRPr="00C9309F">
        <w:rPr>
          <w:sz w:val="24"/>
          <w:szCs w:val="24"/>
        </w:rPr>
        <w:t>usluge promidžbe (televizijske i radijske prezentacije, održavanje internetskih stranica, obavijesti u tiskovinama, promidžbeni materijal i sl. pri čemu je potrebno navesti vrstu promi</w:t>
      </w:r>
      <w:r w:rsidR="00DC2134">
        <w:rPr>
          <w:sz w:val="24"/>
          <w:szCs w:val="24"/>
        </w:rPr>
        <w:t>džbe, trajanje i cijenu usluge);</w:t>
      </w:r>
      <w:r w:rsidRPr="00C9309F">
        <w:rPr>
          <w:b/>
          <w:sz w:val="24"/>
          <w:szCs w:val="24"/>
        </w:rPr>
        <w:t xml:space="preserve"> </w:t>
      </w:r>
    </w:p>
    <w:p w14:paraId="20D620A0" w14:textId="05A7FAAD" w:rsidR="00A370CE" w:rsidRPr="00C9309F" w:rsidRDefault="00A370CE" w:rsidP="00C25DCD">
      <w:pPr>
        <w:numPr>
          <w:ilvl w:val="0"/>
          <w:numId w:val="7"/>
        </w:numPr>
        <w:spacing w:after="0"/>
        <w:jc w:val="both"/>
        <w:rPr>
          <w:sz w:val="24"/>
          <w:szCs w:val="24"/>
        </w:rPr>
      </w:pPr>
      <w:r w:rsidRPr="00C9309F">
        <w:rPr>
          <w:sz w:val="24"/>
          <w:szCs w:val="24"/>
        </w:rPr>
        <w:t>troškovi reprezentacije vezani uz organizaciju projektnih aktivnosti (pri čemu treba navesti svrhu, učestalost i očekivani broj sudio</w:t>
      </w:r>
      <w:r w:rsidR="00DC2134">
        <w:rPr>
          <w:sz w:val="24"/>
          <w:szCs w:val="24"/>
        </w:rPr>
        <w:t>nika i sl.);</w:t>
      </w:r>
      <w:r w:rsidRPr="00C9309F">
        <w:rPr>
          <w:sz w:val="24"/>
          <w:szCs w:val="24"/>
        </w:rPr>
        <w:t xml:space="preserve"> </w:t>
      </w:r>
    </w:p>
    <w:p w14:paraId="51AE5E29" w14:textId="77777777" w:rsidR="00A370CE" w:rsidRPr="00C9309F" w:rsidRDefault="00A370CE" w:rsidP="00C25DCD">
      <w:pPr>
        <w:numPr>
          <w:ilvl w:val="0"/>
          <w:numId w:val="7"/>
        </w:numPr>
        <w:spacing w:after="0"/>
        <w:jc w:val="both"/>
        <w:rPr>
          <w:sz w:val="24"/>
          <w:szCs w:val="24"/>
        </w:rPr>
      </w:pPr>
      <w:r w:rsidRPr="00C9309F">
        <w:rPr>
          <w:sz w:val="24"/>
          <w:szCs w:val="24"/>
        </w:rPr>
        <w:t>ostali troškovi koji su izravno vezani za provedbu aktivnosti programa ili projekta.</w:t>
      </w:r>
    </w:p>
    <w:p w14:paraId="295F220A" w14:textId="77777777" w:rsidR="00A370CE" w:rsidRPr="00C9309F" w:rsidRDefault="00A370CE" w:rsidP="008C3672">
      <w:pPr>
        <w:jc w:val="both"/>
        <w:rPr>
          <w:sz w:val="24"/>
          <w:szCs w:val="24"/>
        </w:rPr>
      </w:pPr>
    </w:p>
    <w:p w14:paraId="41A996A0" w14:textId="77777777" w:rsidR="00A370CE" w:rsidRPr="00C9309F" w:rsidRDefault="00A370CE" w:rsidP="008C3672">
      <w:pPr>
        <w:jc w:val="both"/>
        <w:rPr>
          <w:sz w:val="24"/>
          <w:szCs w:val="24"/>
        </w:rPr>
      </w:pPr>
      <w:r w:rsidRPr="00C9309F">
        <w:rPr>
          <w:sz w:val="24"/>
          <w:szCs w:val="24"/>
        </w:rPr>
        <w:t>U neprihvatljive troškove spadaju:</w:t>
      </w:r>
    </w:p>
    <w:p w14:paraId="22044C6C" w14:textId="77777777" w:rsidR="00A370CE" w:rsidRPr="00C9309F" w:rsidRDefault="00A370CE" w:rsidP="00C25DCD">
      <w:pPr>
        <w:numPr>
          <w:ilvl w:val="0"/>
          <w:numId w:val="12"/>
        </w:numPr>
        <w:spacing w:after="0"/>
        <w:jc w:val="both"/>
        <w:rPr>
          <w:sz w:val="24"/>
          <w:szCs w:val="24"/>
        </w:rPr>
      </w:pPr>
      <w:r w:rsidRPr="00C9309F">
        <w:rPr>
          <w:sz w:val="24"/>
          <w:szCs w:val="24"/>
        </w:rPr>
        <w:t>ulaganja u kapital ili kreditna ulaganja, jamstveni fondovi;</w:t>
      </w:r>
    </w:p>
    <w:p w14:paraId="19F48BFA" w14:textId="449C49D3" w:rsidR="00A370CE" w:rsidRPr="00C9309F" w:rsidRDefault="00A370CE" w:rsidP="00C25DCD">
      <w:pPr>
        <w:numPr>
          <w:ilvl w:val="0"/>
          <w:numId w:val="12"/>
        </w:numPr>
        <w:spacing w:after="0"/>
        <w:jc w:val="both"/>
        <w:rPr>
          <w:sz w:val="24"/>
          <w:szCs w:val="24"/>
        </w:rPr>
      </w:pPr>
      <w:r w:rsidRPr="00C9309F">
        <w:rPr>
          <w:sz w:val="24"/>
          <w:szCs w:val="24"/>
        </w:rPr>
        <w:t>troškovi kupnje opreme i namještaja</w:t>
      </w:r>
      <w:r w:rsidR="00C450C0">
        <w:rPr>
          <w:sz w:val="24"/>
          <w:szCs w:val="24"/>
        </w:rPr>
        <w:t>;</w:t>
      </w:r>
    </w:p>
    <w:p w14:paraId="55AAA6E6" w14:textId="77777777" w:rsidR="00A370CE" w:rsidRPr="00C9309F" w:rsidRDefault="00A370CE" w:rsidP="00C25DCD">
      <w:pPr>
        <w:numPr>
          <w:ilvl w:val="0"/>
          <w:numId w:val="12"/>
        </w:numPr>
        <w:spacing w:after="0"/>
        <w:jc w:val="both"/>
        <w:rPr>
          <w:sz w:val="24"/>
          <w:szCs w:val="24"/>
        </w:rPr>
      </w:pPr>
      <w:r w:rsidRPr="00C9309F">
        <w:rPr>
          <w:sz w:val="24"/>
          <w:szCs w:val="24"/>
        </w:rPr>
        <w:t>troškovi kamata na dug;</w:t>
      </w:r>
      <w:r w:rsidRPr="00C9309F">
        <w:rPr>
          <w:sz w:val="24"/>
          <w:szCs w:val="24"/>
        </w:rPr>
        <w:tab/>
      </w:r>
    </w:p>
    <w:p w14:paraId="0ED19E6C" w14:textId="77777777" w:rsidR="00A370CE" w:rsidRPr="00C9309F" w:rsidRDefault="00A370CE" w:rsidP="00C25DCD">
      <w:pPr>
        <w:numPr>
          <w:ilvl w:val="0"/>
          <w:numId w:val="12"/>
        </w:numPr>
        <w:spacing w:after="0"/>
        <w:jc w:val="both"/>
        <w:rPr>
          <w:sz w:val="24"/>
          <w:szCs w:val="24"/>
        </w:rPr>
      </w:pPr>
      <w:r w:rsidRPr="00C9309F">
        <w:rPr>
          <w:sz w:val="24"/>
          <w:szCs w:val="24"/>
        </w:rPr>
        <w:t>kazne, financijske globe i troškovi sudskih sporova;</w:t>
      </w:r>
    </w:p>
    <w:p w14:paraId="1AB7590C" w14:textId="3AC90403" w:rsidR="00A370CE" w:rsidRPr="00C9309F" w:rsidRDefault="00A370CE" w:rsidP="00C25DCD">
      <w:pPr>
        <w:numPr>
          <w:ilvl w:val="0"/>
          <w:numId w:val="12"/>
        </w:numPr>
        <w:spacing w:after="0"/>
        <w:jc w:val="both"/>
        <w:rPr>
          <w:sz w:val="24"/>
          <w:szCs w:val="24"/>
        </w:rPr>
      </w:pPr>
      <w:r w:rsidRPr="00C9309F">
        <w:rPr>
          <w:sz w:val="24"/>
          <w:szCs w:val="24"/>
        </w:rPr>
        <w:t>troškovi plaća i doprinosa za zaposlene</w:t>
      </w:r>
      <w:r w:rsidR="00C450C0">
        <w:rPr>
          <w:sz w:val="24"/>
          <w:szCs w:val="24"/>
        </w:rPr>
        <w:t>;</w:t>
      </w:r>
    </w:p>
    <w:p w14:paraId="06DFE39A" w14:textId="77777777" w:rsidR="00A370CE" w:rsidRPr="00C9309F" w:rsidRDefault="00A370CE" w:rsidP="00C25DCD">
      <w:pPr>
        <w:numPr>
          <w:ilvl w:val="0"/>
          <w:numId w:val="12"/>
        </w:numPr>
        <w:spacing w:after="0"/>
        <w:jc w:val="both"/>
        <w:rPr>
          <w:sz w:val="24"/>
          <w:szCs w:val="24"/>
        </w:rPr>
      </w:pPr>
      <w:r w:rsidRPr="00C9309F">
        <w:rPr>
          <w:sz w:val="24"/>
          <w:szCs w:val="24"/>
        </w:rPr>
        <w:t>bankovne pristojbe za otvaranje i vođenje računa, naknade za financijske transfere i druge pristojbe u potpunosti financijske prirode;</w:t>
      </w:r>
    </w:p>
    <w:p w14:paraId="562B2DF0" w14:textId="77777777" w:rsidR="00A370CE" w:rsidRPr="00C9309F" w:rsidRDefault="00A370CE" w:rsidP="00C25DCD">
      <w:pPr>
        <w:numPr>
          <w:ilvl w:val="0"/>
          <w:numId w:val="12"/>
        </w:numPr>
        <w:spacing w:after="0"/>
        <w:jc w:val="both"/>
        <w:rPr>
          <w:sz w:val="24"/>
          <w:szCs w:val="24"/>
        </w:rPr>
      </w:pPr>
      <w:r w:rsidRPr="00C9309F">
        <w:rPr>
          <w:sz w:val="24"/>
          <w:szCs w:val="24"/>
        </w:rPr>
        <w:t>troškovi koji su već bili financirani iz javnih izvora odnosno troškovi koji se u razdoblju provedbe projekta financiraju iz drugih izvora;</w:t>
      </w:r>
    </w:p>
    <w:p w14:paraId="518E235B" w14:textId="77777777" w:rsidR="00A370CE" w:rsidRPr="00C9309F" w:rsidRDefault="00A370CE" w:rsidP="00C25DCD">
      <w:pPr>
        <w:numPr>
          <w:ilvl w:val="0"/>
          <w:numId w:val="12"/>
        </w:numPr>
        <w:spacing w:after="0"/>
        <w:jc w:val="both"/>
        <w:rPr>
          <w:sz w:val="24"/>
          <w:szCs w:val="24"/>
        </w:rPr>
      </w:pPr>
      <w:r w:rsidRPr="00C9309F">
        <w:rPr>
          <w:sz w:val="24"/>
          <w:szCs w:val="24"/>
        </w:rPr>
        <w:t>kupnja rabljene opreme, strojeva i namještaja;</w:t>
      </w:r>
    </w:p>
    <w:p w14:paraId="54EF4BB9" w14:textId="77777777" w:rsidR="00A370CE" w:rsidRPr="00C9309F" w:rsidRDefault="00A370CE" w:rsidP="00C25DCD">
      <w:pPr>
        <w:numPr>
          <w:ilvl w:val="0"/>
          <w:numId w:val="12"/>
        </w:numPr>
        <w:spacing w:after="0"/>
        <w:jc w:val="both"/>
        <w:rPr>
          <w:sz w:val="24"/>
          <w:szCs w:val="24"/>
        </w:rPr>
      </w:pPr>
      <w:r w:rsidRPr="00C9309F">
        <w:rPr>
          <w:sz w:val="24"/>
          <w:szCs w:val="24"/>
        </w:rPr>
        <w:t>doprinosi u naravi: nefinancijski doprinosi (robe ili usluge) od trećih strana koji ne obuhvaćaju izdatke za Korisnika;</w:t>
      </w:r>
    </w:p>
    <w:p w14:paraId="7B38E719" w14:textId="27D878A8" w:rsidR="00A370CE" w:rsidRPr="00C9309F" w:rsidRDefault="00A370CE" w:rsidP="00C25DCD">
      <w:pPr>
        <w:numPr>
          <w:ilvl w:val="0"/>
          <w:numId w:val="12"/>
        </w:numPr>
        <w:spacing w:after="0"/>
        <w:jc w:val="both"/>
        <w:rPr>
          <w:sz w:val="24"/>
          <w:szCs w:val="24"/>
        </w:rPr>
      </w:pPr>
      <w:r w:rsidRPr="00C9309F">
        <w:rPr>
          <w:sz w:val="24"/>
          <w:szCs w:val="24"/>
        </w:rPr>
        <w:t>troškovi koji nisu predviđeni Ugovorom</w:t>
      </w:r>
      <w:r w:rsidR="00D94660">
        <w:rPr>
          <w:rStyle w:val="FootnoteReference"/>
          <w:sz w:val="24"/>
          <w:szCs w:val="24"/>
        </w:rPr>
        <w:footnoteReference w:id="2"/>
      </w:r>
      <w:r w:rsidRPr="00C9309F">
        <w:rPr>
          <w:sz w:val="24"/>
          <w:szCs w:val="24"/>
        </w:rPr>
        <w:t>;</w:t>
      </w:r>
    </w:p>
    <w:p w14:paraId="5106A3B1" w14:textId="77777777" w:rsidR="00A370CE" w:rsidRPr="00C9309F" w:rsidRDefault="00A370CE" w:rsidP="00C25DCD">
      <w:pPr>
        <w:numPr>
          <w:ilvl w:val="0"/>
          <w:numId w:val="12"/>
        </w:numPr>
        <w:spacing w:after="0"/>
        <w:jc w:val="both"/>
        <w:rPr>
          <w:sz w:val="24"/>
          <w:szCs w:val="24"/>
        </w:rPr>
      </w:pPr>
      <w:r w:rsidRPr="00C9309F">
        <w:rPr>
          <w:sz w:val="24"/>
          <w:szCs w:val="24"/>
        </w:rPr>
        <w:t>donacije u dobrotvorne svrhe;</w:t>
      </w:r>
    </w:p>
    <w:p w14:paraId="06C28FA7" w14:textId="77777777" w:rsidR="00A370CE" w:rsidRPr="00C9309F" w:rsidRDefault="00A370CE" w:rsidP="00C25DCD">
      <w:pPr>
        <w:numPr>
          <w:ilvl w:val="0"/>
          <w:numId w:val="12"/>
        </w:numPr>
        <w:spacing w:after="0"/>
        <w:jc w:val="both"/>
        <w:rPr>
          <w:sz w:val="24"/>
          <w:szCs w:val="24"/>
        </w:rPr>
      </w:pPr>
      <w:r w:rsidRPr="00C9309F">
        <w:rPr>
          <w:sz w:val="24"/>
          <w:szCs w:val="24"/>
        </w:rPr>
        <w:t>zajmovi drugim organizacijama ili pojedincima;</w:t>
      </w:r>
    </w:p>
    <w:p w14:paraId="710D9EAE" w14:textId="77777777" w:rsidR="00A370CE" w:rsidRPr="00C9309F" w:rsidRDefault="00A370CE" w:rsidP="00C25DCD">
      <w:pPr>
        <w:numPr>
          <w:ilvl w:val="0"/>
          <w:numId w:val="12"/>
        </w:numPr>
        <w:spacing w:after="0"/>
        <w:jc w:val="both"/>
        <w:rPr>
          <w:sz w:val="24"/>
          <w:szCs w:val="24"/>
        </w:rPr>
      </w:pPr>
      <w:r w:rsidRPr="00C9309F">
        <w:rPr>
          <w:sz w:val="24"/>
          <w:szCs w:val="24"/>
        </w:rPr>
        <w:t>drugi troškovi koji nisu u neposrednoj povezanosti sa sadržajem i ciljevima projekta.</w:t>
      </w:r>
    </w:p>
    <w:p w14:paraId="0144CAE9" w14:textId="77777777" w:rsidR="00DC2134" w:rsidRDefault="00DC2134" w:rsidP="008C3672">
      <w:pPr>
        <w:jc w:val="both"/>
        <w:rPr>
          <w:b/>
          <w:sz w:val="24"/>
          <w:szCs w:val="24"/>
        </w:rPr>
      </w:pPr>
    </w:p>
    <w:p w14:paraId="76EAFB19" w14:textId="709FEE8B" w:rsidR="00A370CE" w:rsidRDefault="00C450C0" w:rsidP="00063451">
      <w:pPr>
        <w:pBdr>
          <w:top w:val="single" w:sz="4" w:space="1" w:color="auto"/>
          <w:left w:val="single" w:sz="4" w:space="4" w:color="auto"/>
          <w:bottom w:val="single" w:sz="4" w:space="1" w:color="auto"/>
          <w:right w:val="single" w:sz="4" w:space="4" w:color="auto"/>
        </w:pBdr>
        <w:jc w:val="both"/>
        <w:rPr>
          <w:b/>
          <w:sz w:val="24"/>
          <w:szCs w:val="24"/>
        </w:rPr>
      </w:pPr>
      <w:r>
        <w:rPr>
          <w:b/>
          <w:sz w:val="24"/>
          <w:szCs w:val="24"/>
        </w:rPr>
        <w:lastRenderedPageBreak/>
        <w:t>Kako se prijaviti?</w:t>
      </w:r>
    </w:p>
    <w:p w14:paraId="7BD225BD" w14:textId="44266ED6" w:rsidR="00C450C0" w:rsidRPr="00C450C0" w:rsidRDefault="00C450C0" w:rsidP="008C3672">
      <w:pPr>
        <w:jc w:val="both"/>
        <w:rPr>
          <w:sz w:val="24"/>
          <w:szCs w:val="24"/>
        </w:rPr>
      </w:pPr>
      <w:r w:rsidRPr="00C450C0">
        <w:rPr>
          <w:sz w:val="24"/>
          <w:szCs w:val="24"/>
        </w:rPr>
        <w:t xml:space="preserve">Na Javni poziv prijavljuje se do </w:t>
      </w:r>
      <w:r w:rsidRPr="00C450C0">
        <w:rPr>
          <w:b/>
          <w:sz w:val="24"/>
          <w:szCs w:val="24"/>
        </w:rPr>
        <w:t xml:space="preserve">zaključno </w:t>
      </w:r>
      <w:r w:rsidR="00E97260">
        <w:rPr>
          <w:b/>
          <w:sz w:val="24"/>
          <w:szCs w:val="24"/>
        </w:rPr>
        <w:t>2</w:t>
      </w:r>
      <w:r w:rsidRPr="00C450C0">
        <w:rPr>
          <w:b/>
          <w:sz w:val="24"/>
          <w:szCs w:val="24"/>
        </w:rPr>
        <w:t>. svibnja 201</w:t>
      </w:r>
      <w:r w:rsidR="007C5C9E">
        <w:rPr>
          <w:b/>
          <w:sz w:val="24"/>
          <w:szCs w:val="24"/>
        </w:rPr>
        <w:t>9</w:t>
      </w:r>
      <w:r w:rsidRPr="00C450C0">
        <w:rPr>
          <w:b/>
          <w:sz w:val="24"/>
          <w:szCs w:val="24"/>
        </w:rPr>
        <w:t>.</w:t>
      </w:r>
      <w:r w:rsidRPr="00C450C0">
        <w:rPr>
          <w:sz w:val="24"/>
          <w:szCs w:val="24"/>
        </w:rPr>
        <w:t xml:space="preserve"> dostavom popunjenih obrazaca koji su sastavni dio Uputa za prijavitelje.</w:t>
      </w:r>
    </w:p>
    <w:p w14:paraId="0B4C9895" w14:textId="77777777" w:rsidR="00A370CE" w:rsidRPr="00C9309F" w:rsidRDefault="00A370CE" w:rsidP="008C3672">
      <w:pPr>
        <w:jc w:val="both"/>
        <w:rPr>
          <w:sz w:val="24"/>
          <w:szCs w:val="24"/>
        </w:rPr>
      </w:pPr>
      <w:r w:rsidRPr="00C9309F">
        <w:rPr>
          <w:sz w:val="24"/>
          <w:szCs w:val="24"/>
        </w:rPr>
        <w:t>Prijava se smatra potpunom ukoliko sadrži:</w:t>
      </w:r>
    </w:p>
    <w:p w14:paraId="14864B85" w14:textId="289FEDAA" w:rsidR="00A370CE" w:rsidRPr="00C9309F" w:rsidRDefault="00C25DCD" w:rsidP="008C3672">
      <w:pPr>
        <w:numPr>
          <w:ilvl w:val="0"/>
          <w:numId w:val="9"/>
        </w:numPr>
        <w:jc w:val="both"/>
        <w:rPr>
          <w:sz w:val="24"/>
          <w:szCs w:val="24"/>
        </w:rPr>
      </w:pPr>
      <w:r>
        <w:rPr>
          <w:sz w:val="24"/>
          <w:szCs w:val="24"/>
        </w:rPr>
        <w:t xml:space="preserve">Popunjeni </w:t>
      </w:r>
      <w:r w:rsidR="00A370CE" w:rsidRPr="00C9309F">
        <w:rPr>
          <w:sz w:val="24"/>
          <w:szCs w:val="24"/>
        </w:rPr>
        <w:t>Obrazac za prijavu</w:t>
      </w:r>
      <w:r w:rsidR="00B82FE5">
        <w:rPr>
          <w:sz w:val="24"/>
          <w:szCs w:val="24"/>
        </w:rPr>
        <w:t>;</w:t>
      </w:r>
      <w:r w:rsidR="00C450C0">
        <w:rPr>
          <w:sz w:val="24"/>
          <w:szCs w:val="24"/>
        </w:rPr>
        <w:t xml:space="preserve"> </w:t>
      </w:r>
    </w:p>
    <w:p w14:paraId="7F0BFA6A" w14:textId="747924BC" w:rsidR="00A370CE" w:rsidRPr="00C9309F" w:rsidRDefault="00C25DCD" w:rsidP="00C25DCD">
      <w:pPr>
        <w:numPr>
          <w:ilvl w:val="0"/>
          <w:numId w:val="9"/>
        </w:numPr>
        <w:jc w:val="both"/>
        <w:rPr>
          <w:sz w:val="24"/>
          <w:szCs w:val="24"/>
        </w:rPr>
      </w:pPr>
      <w:r>
        <w:rPr>
          <w:sz w:val="24"/>
          <w:szCs w:val="24"/>
        </w:rPr>
        <w:t xml:space="preserve">Popunjeni </w:t>
      </w:r>
      <w:r w:rsidR="00A370CE" w:rsidRPr="00C9309F">
        <w:rPr>
          <w:sz w:val="24"/>
          <w:szCs w:val="24"/>
        </w:rPr>
        <w:t>Obrazac proračuna</w:t>
      </w:r>
      <w:r w:rsidR="00B85B74">
        <w:rPr>
          <w:sz w:val="24"/>
          <w:szCs w:val="24"/>
        </w:rPr>
        <w:t xml:space="preserve"> (U</w:t>
      </w:r>
      <w:r>
        <w:rPr>
          <w:sz w:val="24"/>
          <w:szCs w:val="24"/>
        </w:rPr>
        <w:t>druga predlaže</w:t>
      </w:r>
      <w:r w:rsidRPr="00C25DCD">
        <w:rPr>
          <w:sz w:val="24"/>
          <w:szCs w:val="24"/>
        </w:rPr>
        <w:t xml:space="preserve"> okvirni proračun projekta. Nakon odabira</w:t>
      </w:r>
      <w:r w:rsidR="00C84A5A">
        <w:rPr>
          <w:sz w:val="24"/>
          <w:szCs w:val="24"/>
        </w:rPr>
        <w:t xml:space="preserve"> projekata koji će biti financirani</w:t>
      </w:r>
      <w:r w:rsidR="00B85B74">
        <w:rPr>
          <w:sz w:val="24"/>
          <w:szCs w:val="24"/>
        </w:rPr>
        <w:t xml:space="preserve"> udruge će, u suradnji s komunikacijskim stručnjacima,</w:t>
      </w:r>
      <w:r w:rsidRPr="00C25DCD">
        <w:rPr>
          <w:sz w:val="24"/>
          <w:szCs w:val="24"/>
        </w:rPr>
        <w:t xml:space="preserve"> detaljno definirati troškove projekta</w:t>
      </w:r>
      <w:r>
        <w:rPr>
          <w:sz w:val="24"/>
          <w:szCs w:val="24"/>
        </w:rPr>
        <w:t>)</w:t>
      </w:r>
      <w:r w:rsidR="00B82FE5">
        <w:rPr>
          <w:sz w:val="24"/>
          <w:szCs w:val="24"/>
        </w:rPr>
        <w:t>;</w:t>
      </w:r>
    </w:p>
    <w:p w14:paraId="0992B131" w14:textId="723F8303" w:rsidR="00A370CE" w:rsidRPr="00DC2134" w:rsidRDefault="00A370CE" w:rsidP="00DC2134">
      <w:pPr>
        <w:numPr>
          <w:ilvl w:val="0"/>
          <w:numId w:val="9"/>
        </w:numPr>
        <w:jc w:val="both"/>
        <w:rPr>
          <w:sz w:val="24"/>
          <w:szCs w:val="24"/>
        </w:rPr>
      </w:pPr>
      <w:r w:rsidRPr="00C9309F">
        <w:rPr>
          <w:sz w:val="24"/>
          <w:szCs w:val="24"/>
        </w:rPr>
        <w:t xml:space="preserve">Preslika </w:t>
      </w:r>
      <w:r w:rsidRPr="00C9309F">
        <w:rPr>
          <w:b/>
          <w:sz w:val="24"/>
          <w:szCs w:val="24"/>
        </w:rPr>
        <w:t xml:space="preserve">važećeg </w:t>
      </w:r>
      <w:r w:rsidRPr="00C9309F">
        <w:rPr>
          <w:sz w:val="24"/>
          <w:szCs w:val="24"/>
        </w:rPr>
        <w:t>Statuta (</w:t>
      </w:r>
      <w:r w:rsidRPr="00C9309F">
        <w:rPr>
          <w:i/>
          <w:sz w:val="24"/>
          <w:szCs w:val="24"/>
        </w:rPr>
        <w:t>samo za udruge čiji statut nije moguće preuzeti putem Registra udruga</w:t>
      </w:r>
      <w:r w:rsidRPr="00C9309F">
        <w:rPr>
          <w:sz w:val="24"/>
          <w:szCs w:val="24"/>
        </w:rPr>
        <w:t xml:space="preserve">) te dokaz </w:t>
      </w:r>
      <w:r w:rsidR="00DC2134">
        <w:rPr>
          <w:sz w:val="24"/>
          <w:szCs w:val="24"/>
        </w:rPr>
        <w:t>o podnesenom zahtjevu za usklađivanjem statuta sa</w:t>
      </w:r>
      <w:r w:rsidRPr="00C9309F">
        <w:rPr>
          <w:sz w:val="24"/>
          <w:szCs w:val="24"/>
        </w:rPr>
        <w:t xml:space="preserve"> Zakonom o udrugama (NN 74/14) (</w:t>
      </w:r>
      <w:r w:rsidRPr="00C9309F">
        <w:rPr>
          <w:i/>
          <w:sz w:val="24"/>
          <w:szCs w:val="24"/>
        </w:rPr>
        <w:t>samo za udruge koje su predale zahtjev za usklađivanjem statuta sa Zakonom o udrugama, ali je njihov zahtjev još u obradi</w:t>
      </w:r>
      <w:r w:rsidR="00C25DCD">
        <w:rPr>
          <w:i/>
          <w:sz w:val="24"/>
          <w:szCs w:val="24"/>
        </w:rPr>
        <w:t>, a to nije vidljivo u Registru udruga</w:t>
      </w:r>
      <w:r w:rsidRPr="00C9309F">
        <w:rPr>
          <w:sz w:val="24"/>
          <w:szCs w:val="24"/>
        </w:rPr>
        <w:t>)</w:t>
      </w:r>
      <w:r w:rsidR="00DC2134">
        <w:rPr>
          <w:sz w:val="24"/>
          <w:szCs w:val="24"/>
        </w:rPr>
        <w:t xml:space="preserve">. </w:t>
      </w:r>
      <w:r w:rsidR="00DC2134" w:rsidRPr="00DC2134">
        <w:rPr>
          <w:sz w:val="24"/>
          <w:szCs w:val="24"/>
        </w:rPr>
        <w:t>Ukoliko je prijavitelj udruga koja je uskladila svoj statut s odredbama Zakona o</w:t>
      </w:r>
      <w:r w:rsidR="00DC2134">
        <w:rPr>
          <w:sz w:val="24"/>
          <w:szCs w:val="24"/>
        </w:rPr>
        <w:t xml:space="preserve"> </w:t>
      </w:r>
      <w:r w:rsidR="00DC2134" w:rsidRPr="00DC2134">
        <w:rPr>
          <w:sz w:val="24"/>
          <w:szCs w:val="24"/>
        </w:rPr>
        <w:t>udrugama (NN 74/2014), statut nije potrebno prilagati (pri čemu statut mora biti vidljiv u</w:t>
      </w:r>
      <w:r w:rsidR="00DC2134">
        <w:rPr>
          <w:sz w:val="24"/>
          <w:szCs w:val="24"/>
        </w:rPr>
        <w:t xml:space="preserve"> </w:t>
      </w:r>
      <w:r w:rsidR="00B85B74">
        <w:rPr>
          <w:sz w:val="24"/>
          <w:szCs w:val="24"/>
        </w:rPr>
        <w:t>Registru udruga)</w:t>
      </w:r>
      <w:r w:rsidR="00B82FE5">
        <w:rPr>
          <w:sz w:val="24"/>
          <w:szCs w:val="24"/>
        </w:rPr>
        <w:t>;</w:t>
      </w:r>
    </w:p>
    <w:p w14:paraId="5BA461DE" w14:textId="7B77939E" w:rsidR="00A370CE" w:rsidRPr="00C9309F" w:rsidRDefault="00C25DCD" w:rsidP="008C3672">
      <w:pPr>
        <w:numPr>
          <w:ilvl w:val="0"/>
          <w:numId w:val="9"/>
        </w:numPr>
        <w:jc w:val="both"/>
        <w:rPr>
          <w:sz w:val="24"/>
          <w:szCs w:val="24"/>
        </w:rPr>
      </w:pPr>
      <w:r>
        <w:rPr>
          <w:sz w:val="24"/>
          <w:szCs w:val="24"/>
        </w:rPr>
        <w:t xml:space="preserve">Popunjeni </w:t>
      </w:r>
      <w:r w:rsidR="00A370CE" w:rsidRPr="00C9309F">
        <w:rPr>
          <w:sz w:val="24"/>
          <w:szCs w:val="24"/>
        </w:rPr>
        <w:t xml:space="preserve">Obrazac Izjave o financiranim projektima/programima udruge iz javnih izvora u </w:t>
      </w:r>
      <w:r w:rsidR="00A370CE" w:rsidRPr="00087921">
        <w:rPr>
          <w:sz w:val="24"/>
          <w:szCs w:val="24"/>
        </w:rPr>
        <w:t>201</w:t>
      </w:r>
      <w:r w:rsidR="007C5C9E">
        <w:rPr>
          <w:sz w:val="24"/>
          <w:szCs w:val="24"/>
        </w:rPr>
        <w:t>8</w:t>
      </w:r>
      <w:r w:rsidR="00A370CE" w:rsidRPr="00C9309F">
        <w:rPr>
          <w:sz w:val="24"/>
          <w:szCs w:val="24"/>
        </w:rPr>
        <w:t>. i 201</w:t>
      </w:r>
      <w:r w:rsidR="007C5C9E">
        <w:rPr>
          <w:sz w:val="24"/>
          <w:szCs w:val="24"/>
        </w:rPr>
        <w:t>9</w:t>
      </w:r>
      <w:r w:rsidR="00A370CE" w:rsidRPr="00C9309F">
        <w:rPr>
          <w:sz w:val="24"/>
          <w:szCs w:val="24"/>
        </w:rPr>
        <w:t>. godini</w:t>
      </w:r>
      <w:r w:rsidR="00B82FE5">
        <w:rPr>
          <w:sz w:val="24"/>
          <w:szCs w:val="24"/>
        </w:rPr>
        <w:t>.</w:t>
      </w:r>
    </w:p>
    <w:p w14:paraId="420786F1" w14:textId="7CC69F20" w:rsidR="00A370CE" w:rsidRPr="00C9309F" w:rsidRDefault="00A370CE" w:rsidP="008C3672">
      <w:pPr>
        <w:jc w:val="both"/>
        <w:rPr>
          <w:sz w:val="24"/>
          <w:szCs w:val="24"/>
        </w:rPr>
      </w:pPr>
      <w:r w:rsidRPr="00C9309F">
        <w:rPr>
          <w:sz w:val="24"/>
          <w:szCs w:val="24"/>
        </w:rPr>
        <w:t xml:space="preserve">Udruge </w:t>
      </w:r>
      <w:r w:rsidR="00D94660">
        <w:rPr>
          <w:sz w:val="24"/>
          <w:szCs w:val="24"/>
        </w:rPr>
        <w:t>čiji projekti će biti odabrani,</w:t>
      </w:r>
      <w:r w:rsidRPr="00C9309F">
        <w:rPr>
          <w:sz w:val="24"/>
          <w:szCs w:val="24"/>
        </w:rPr>
        <w:t xml:space="preserve"> po </w:t>
      </w:r>
      <w:r w:rsidR="001A472F">
        <w:rPr>
          <w:sz w:val="24"/>
          <w:szCs w:val="24"/>
        </w:rPr>
        <w:t>objavi rezultata</w:t>
      </w:r>
      <w:r w:rsidRPr="00C9309F">
        <w:rPr>
          <w:sz w:val="24"/>
          <w:szCs w:val="24"/>
        </w:rPr>
        <w:t xml:space="preserve"> dostavljaju:</w:t>
      </w:r>
    </w:p>
    <w:p w14:paraId="35D0A0E6" w14:textId="77777777" w:rsidR="00A370CE" w:rsidRPr="00C9309F" w:rsidRDefault="00A370CE" w:rsidP="008C3672">
      <w:pPr>
        <w:numPr>
          <w:ilvl w:val="0"/>
          <w:numId w:val="10"/>
        </w:numPr>
        <w:spacing w:after="0"/>
        <w:jc w:val="both"/>
        <w:rPr>
          <w:sz w:val="24"/>
          <w:szCs w:val="24"/>
        </w:rPr>
      </w:pPr>
      <w:r w:rsidRPr="00C9309F">
        <w:rPr>
          <w:sz w:val="24"/>
          <w:szCs w:val="24"/>
        </w:rPr>
        <w:t xml:space="preserve">Uvjerenje o </w:t>
      </w:r>
      <w:proofErr w:type="spellStart"/>
      <w:r w:rsidRPr="00C9309F">
        <w:rPr>
          <w:sz w:val="24"/>
          <w:szCs w:val="24"/>
        </w:rPr>
        <w:t>nevođenju</w:t>
      </w:r>
      <w:proofErr w:type="spellEnd"/>
      <w:r w:rsidRPr="00C9309F">
        <w:rPr>
          <w:sz w:val="24"/>
          <w:szCs w:val="24"/>
        </w:rPr>
        <w:t xml:space="preserve"> kaznenog postupka protiv odgovorne osobe u udruzi i</w:t>
      </w:r>
    </w:p>
    <w:p w14:paraId="1FB95DC4" w14:textId="06593DAE" w:rsidR="00A370CE" w:rsidRDefault="00A370CE" w:rsidP="008C3672">
      <w:pPr>
        <w:spacing w:after="0"/>
        <w:ind w:firstLine="720"/>
        <w:jc w:val="both"/>
        <w:rPr>
          <w:sz w:val="24"/>
          <w:szCs w:val="24"/>
        </w:rPr>
      </w:pPr>
      <w:r w:rsidRPr="00C9309F">
        <w:rPr>
          <w:sz w:val="24"/>
          <w:szCs w:val="24"/>
        </w:rPr>
        <w:t xml:space="preserve">voditelja </w:t>
      </w:r>
      <w:r w:rsidR="00CC4245">
        <w:rPr>
          <w:sz w:val="24"/>
          <w:szCs w:val="24"/>
        </w:rPr>
        <w:t>projekta</w:t>
      </w:r>
      <w:r w:rsidR="00B82FE5">
        <w:rPr>
          <w:sz w:val="24"/>
          <w:szCs w:val="24"/>
        </w:rPr>
        <w:t xml:space="preserve">, odnosno </w:t>
      </w:r>
      <w:r w:rsidR="00B82FE5" w:rsidRPr="00A370CE">
        <w:rPr>
          <w:sz w:val="24"/>
          <w:szCs w:val="24"/>
        </w:rPr>
        <w:t>javne kampanje</w:t>
      </w:r>
      <w:r w:rsidR="00B82FE5">
        <w:rPr>
          <w:sz w:val="24"/>
          <w:szCs w:val="24"/>
        </w:rPr>
        <w:t>,</w:t>
      </w:r>
      <w:r w:rsidRPr="00C9309F">
        <w:rPr>
          <w:sz w:val="24"/>
          <w:szCs w:val="24"/>
        </w:rPr>
        <w:t xml:space="preserve"> ne starije od 6 mjeseci;</w:t>
      </w:r>
    </w:p>
    <w:p w14:paraId="5EA7D773" w14:textId="77777777" w:rsidR="00C9309F" w:rsidRPr="00C9309F" w:rsidRDefault="00C9309F" w:rsidP="008C3672">
      <w:pPr>
        <w:spacing w:after="0"/>
        <w:ind w:firstLine="720"/>
        <w:jc w:val="both"/>
        <w:rPr>
          <w:sz w:val="24"/>
          <w:szCs w:val="24"/>
        </w:rPr>
      </w:pPr>
    </w:p>
    <w:p w14:paraId="254EE340" w14:textId="48A31E4B" w:rsidR="00A370CE" w:rsidRPr="00C9309F" w:rsidRDefault="00B85B74" w:rsidP="008C3672">
      <w:pPr>
        <w:numPr>
          <w:ilvl w:val="0"/>
          <w:numId w:val="10"/>
        </w:numPr>
        <w:jc w:val="both"/>
        <w:rPr>
          <w:sz w:val="24"/>
          <w:szCs w:val="24"/>
        </w:rPr>
      </w:pPr>
      <w:r>
        <w:rPr>
          <w:sz w:val="24"/>
          <w:szCs w:val="24"/>
        </w:rPr>
        <w:t>Potvrdu izdanu</w:t>
      </w:r>
      <w:r w:rsidR="00A370CE" w:rsidRPr="00C9309F">
        <w:rPr>
          <w:sz w:val="24"/>
          <w:szCs w:val="24"/>
        </w:rPr>
        <w:t xml:space="preserve"> od strane Ministarstva financija – Porezne uprave da su podmireni svi doprinosi i plaćen porez (ne starija od 30 dana</w:t>
      </w:r>
      <w:r w:rsidR="00C9309F">
        <w:rPr>
          <w:sz w:val="24"/>
          <w:szCs w:val="24"/>
        </w:rPr>
        <w:t xml:space="preserve"> od dana prijave na Poziv</w:t>
      </w:r>
      <w:r w:rsidR="00A370CE" w:rsidRPr="00C9309F">
        <w:rPr>
          <w:sz w:val="24"/>
          <w:szCs w:val="24"/>
        </w:rPr>
        <w:t>)</w:t>
      </w:r>
      <w:r w:rsidR="00C9309F">
        <w:rPr>
          <w:sz w:val="24"/>
          <w:szCs w:val="24"/>
        </w:rPr>
        <w:t>;</w:t>
      </w:r>
    </w:p>
    <w:p w14:paraId="5E70C6D2" w14:textId="3F60167F" w:rsidR="00A370CE" w:rsidRPr="00C9309F" w:rsidRDefault="00C25DCD" w:rsidP="008C3672">
      <w:pPr>
        <w:numPr>
          <w:ilvl w:val="0"/>
          <w:numId w:val="10"/>
        </w:numPr>
        <w:jc w:val="both"/>
        <w:rPr>
          <w:sz w:val="24"/>
          <w:szCs w:val="24"/>
        </w:rPr>
      </w:pPr>
      <w:r>
        <w:rPr>
          <w:sz w:val="24"/>
          <w:szCs w:val="24"/>
        </w:rPr>
        <w:t xml:space="preserve">Popunjeni </w:t>
      </w:r>
      <w:r w:rsidR="00A370CE" w:rsidRPr="00C9309F">
        <w:rPr>
          <w:sz w:val="24"/>
          <w:szCs w:val="24"/>
        </w:rPr>
        <w:t>Obrazac Izjave o nepostojanju dvostrukog financiranja</w:t>
      </w:r>
      <w:r w:rsidR="00B82FE5">
        <w:rPr>
          <w:sz w:val="24"/>
          <w:szCs w:val="24"/>
        </w:rPr>
        <w:t>.</w:t>
      </w:r>
    </w:p>
    <w:p w14:paraId="6B670654" w14:textId="77777777" w:rsidR="00C25DCD" w:rsidRDefault="00C25DCD" w:rsidP="008C3672">
      <w:pPr>
        <w:jc w:val="both"/>
      </w:pPr>
    </w:p>
    <w:tbl>
      <w:tblPr>
        <w:tblStyle w:val="TableGrid"/>
        <w:tblW w:w="0" w:type="auto"/>
        <w:tblLook w:val="04A0" w:firstRow="1" w:lastRow="0" w:firstColumn="1" w:lastColumn="0" w:noHBand="0" w:noVBand="1"/>
      </w:tblPr>
      <w:tblGrid>
        <w:gridCol w:w="9350"/>
      </w:tblGrid>
      <w:tr w:rsidR="00A370CE" w14:paraId="0A4DA206" w14:textId="77777777" w:rsidTr="0054595D">
        <w:tc>
          <w:tcPr>
            <w:tcW w:w="9350" w:type="dxa"/>
          </w:tcPr>
          <w:p w14:paraId="31DD1A7B" w14:textId="77777777" w:rsidR="00A370CE" w:rsidRPr="008B4EC7" w:rsidRDefault="00A370CE" w:rsidP="008C3672">
            <w:pPr>
              <w:jc w:val="both"/>
              <w:rPr>
                <w:b/>
                <w:sz w:val="24"/>
                <w:szCs w:val="24"/>
              </w:rPr>
            </w:pPr>
            <w:r w:rsidRPr="008B4EC7">
              <w:rPr>
                <w:b/>
                <w:sz w:val="24"/>
                <w:szCs w:val="24"/>
              </w:rPr>
              <w:t>Procjena prijava:</w:t>
            </w:r>
          </w:p>
        </w:tc>
      </w:tr>
    </w:tbl>
    <w:p w14:paraId="5F4D82A4" w14:textId="77777777" w:rsidR="00A370CE" w:rsidRDefault="00A370CE" w:rsidP="008C3672">
      <w:pPr>
        <w:jc w:val="both"/>
      </w:pPr>
    </w:p>
    <w:p w14:paraId="11621DEA" w14:textId="66352931" w:rsidR="00A370CE" w:rsidRPr="00A370CE" w:rsidRDefault="00A370CE" w:rsidP="008C3672">
      <w:pPr>
        <w:spacing w:after="0" w:line="240" w:lineRule="auto"/>
        <w:jc w:val="both"/>
        <w:rPr>
          <w:sz w:val="24"/>
          <w:szCs w:val="24"/>
        </w:rPr>
      </w:pPr>
      <w:r w:rsidRPr="00A370CE">
        <w:rPr>
          <w:sz w:val="24"/>
          <w:szCs w:val="24"/>
        </w:rPr>
        <w:t>Ured za udruge će osnovati Povjerenstvo</w:t>
      </w:r>
      <w:r w:rsidR="00C25DCD">
        <w:rPr>
          <w:sz w:val="24"/>
          <w:szCs w:val="24"/>
        </w:rPr>
        <w:t xml:space="preserve"> za procjenu pristiglih prijava kojeg </w:t>
      </w:r>
      <w:r w:rsidRPr="00A370CE">
        <w:rPr>
          <w:sz w:val="24"/>
          <w:szCs w:val="24"/>
        </w:rPr>
        <w:t>čine predstavnici Ureda za udruge (2), Hrvatske udruge za odnose s javnoš</w:t>
      </w:r>
      <w:r w:rsidR="008C3672">
        <w:rPr>
          <w:sz w:val="24"/>
          <w:szCs w:val="24"/>
        </w:rPr>
        <w:t>ću (1)</w:t>
      </w:r>
      <w:r w:rsidR="00273BB4">
        <w:rPr>
          <w:sz w:val="24"/>
          <w:szCs w:val="24"/>
        </w:rPr>
        <w:t>,</w:t>
      </w:r>
      <w:r w:rsidR="008C3672">
        <w:rPr>
          <w:sz w:val="24"/>
          <w:szCs w:val="24"/>
        </w:rPr>
        <w:t xml:space="preserve"> </w:t>
      </w:r>
      <w:r w:rsidR="00E97260" w:rsidRPr="00F57069">
        <w:rPr>
          <w:i/>
          <w:sz w:val="24"/>
          <w:szCs w:val="24"/>
        </w:rPr>
        <w:t>CTA komunikacije</w:t>
      </w:r>
      <w:r w:rsidR="00E97260" w:rsidRPr="00E97260">
        <w:rPr>
          <w:sz w:val="24"/>
          <w:szCs w:val="24"/>
        </w:rPr>
        <w:t xml:space="preserve"> </w:t>
      </w:r>
      <w:r w:rsidR="008C3672">
        <w:rPr>
          <w:sz w:val="24"/>
          <w:szCs w:val="24"/>
        </w:rPr>
        <w:t xml:space="preserve">(1) </w:t>
      </w:r>
      <w:r w:rsidRPr="00A370CE">
        <w:rPr>
          <w:sz w:val="24"/>
          <w:szCs w:val="24"/>
        </w:rPr>
        <w:t xml:space="preserve">i </w:t>
      </w:r>
      <w:proofErr w:type="spellStart"/>
      <w:r w:rsidR="008E39FA">
        <w:rPr>
          <w:i/>
          <w:sz w:val="24"/>
          <w:szCs w:val="24"/>
        </w:rPr>
        <w:t>Equestri</w:t>
      </w:r>
      <w:r w:rsidR="00E97260" w:rsidRPr="00F57069">
        <w:rPr>
          <w:i/>
          <w:sz w:val="24"/>
          <w:szCs w:val="24"/>
        </w:rPr>
        <w:t>s</w:t>
      </w:r>
      <w:proofErr w:type="spellEnd"/>
      <w:r w:rsidR="00E97260" w:rsidRPr="00E97260">
        <w:rPr>
          <w:sz w:val="24"/>
          <w:szCs w:val="24"/>
        </w:rPr>
        <w:t xml:space="preserve"> </w:t>
      </w:r>
      <w:r w:rsidRPr="00A370CE">
        <w:rPr>
          <w:sz w:val="24"/>
          <w:szCs w:val="24"/>
        </w:rPr>
        <w:t>(1).</w:t>
      </w:r>
    </w:p>
    <w:p w14:paraId="7C22666E" w14:textId="77777777" w:rsidR="00A370CE" w:rsidRPr="00A370CE" w:rsidRDefault="00A370CE" w:rsidP="008C3672">
      <w:pPr>
        <w:spacing w:after="0" w:line="240" w:lineRule="auto"/>
        <w:jc w:val="both"/>
        <w:rPr>
          <w:sz w:val="24"/>
          <w:szCs w:val="24"/>
        </w:rPr>
      </w:pPr>
    </w:p>
    <w:p w14:paraId="4EC094A7" w14:textId="77777777" w:rsidR="00A370CE" w:rsidRPr="00A370CE" w:rsidRDefault="00A370CE" w:rsidP="008C3672">
      <w:pPr>
        <w:spacing w:after="0" w:line="240" w:lineRule="auto"/>
        <w:jc w:val="both"/>
        <w:rPr>
          <w:sz w:val="24"/>
          <w:szCs w:val="24"/>
        </w:rPr>
      </w:pPr>
      <w:r w:rsidRPr="00A370CE">
        <w:rPr>
          <w:sz w:val="24"/>
          <w:szCs w:val="24"/>
        </w:rPr>
        <w:lastRenderedPageBreak/>
        <w:t>Nakon administrativne provjere svih pristiglih i zaprimljenih prijava u odnosu na propisane uvjete Poziva, Povjerenstvo će izraditi popis svih prijavitelja koji su zadovoljili propisane uvjete, čije se prijave upućuju na procjenu kvalitete, kao i popis svih prijavitelja koji nisu zadovoljili propisane uvjete Poziva.</w:t>
      </w:r>
    </w:p>
    <w:p w14:paraId="4D13ACE6" w14:textId="77777777" w:rsidR="00A370CE" w:rsidRPr="00A370CE" w:rsidRDefault="00A370CE" w:rsidP="008C3672">
      <w:pPr>
        <w:spacing w:after="0" w:line="240" w:lineRule="auto"/>
        <w:jc w:val="both"/>
        <w:rPr>
          <w:sz w:val="24"/>
          <w:szCs w:val="24"/>
        </w:rPr>
      </w:pPr>
    </w:p>
    <w:p w14:paraId="06DCD26B" w14:textId="77777777" w:rsidR="00A370CE" w:rsidRPr="00A370CE" w:rsidRDefault="00A370CE" w:rsidP="008C3672">
      <w:pPr>
        <w:spacing w:after="0" w:line="240" w:lineRule="auto"/>
        <w:jc w:val="both"/>
        <w:rPr>
          <w:sz w:val="24"/>
          <w:szCs w:val="24"/>
        </w:rPr>
      </w:pPr>
      <w:r w:rsidRPr="00A370CE">
        <w:rPr>
          <w:sz w:val="24"/>
          <w:szCs w:val="24"/>
        </w:rPr>
        <w:t>Ured za udruge će pisanim putem obavijestiti sve prijavitelje koji nisu zadovoljili propisane uvjete o razlozima odbijanja njihove prijave.</w:t>
      </w:r>
    </w:p>
    <w:p w14:paraId="608104B2" w14:textId="77777777" w:rsidR="00A370CE" w:rsidRPr="00A370CE" w:rsidRDefault="00A370CE" w:rsidP="008C3672">
      <w:pPr>
        <w:spacing w:after="0" w:line="240" w:lineRule="auto"/>
        <w:jc w:val="both"/>
        <w:rPr>
          <w:sz w:val="24"/>
          <w:szCs w:val="24"/>
        </w:rPr>
      </w:pPr>
    </w:p>
    <w:p w14:paraId="509E18D9" w14:textId="77777777" w:rsidR="00A370CE" w:rsidRPr="00A370CE" w:rsidRDefault="00A370CE" w:rsidP="008C3672">
      <w:pPr>
        <w:jc w:val="both"/>
      </w:pPr>
      <w:r w:rsidRPr="00A370CE">
        <w:rPr>
          <w:sz w:val="24"/>
          <w:szCs w:val="24"/>
        </w:rPr>
        <w:t>Povjerenstvo za procjenu kvalitete procjenjuje zaprimljene prijave temeljem sljedećih kriterija:</w:t>
      </w:r>
    </w:p>
    <w:tbl>
      <w:tblPr>
        <w:tblStyle w:val="TableGrid1"/>
        <w:tblW w:w="0" w:type="auto"/>
        <w:jc w:val="center"/>
        <w:tblLayout w:type="fixed"/>
        <w:tblLook w:val="04A0" w:firstRow="1" w:lastRow="0" w:firstColumn="1" w:lastColumn="0" w:noHBand="0" w:noVBand="1"/>
      </w:tblPr>
      <w:tblGrid>
        <w:gridCol w:w="5127"/>
        <w:gridCol w:w="1247"/>
        <w:gridCol w:w="1418"/>
        <w:gridCol w:w="1558"/>
      </w:tblGrid>
      <w:tr w:rsidR="00273BB4" w:rsidRPr="00C47563" w14:paraId="1105CA3E" w14:textId="3453F1AF" w:rsidTr="00F57069">
        <w:trPr>
          <w:jc w:val="center"/>
        </w:trPr>
        <w:tc>
          <w:tcPr>
            <w:tcW w:w="5127" w:type="dxa"/>
          </w:tcPr>
          <w:p w14:paraId="5C2C2428" w14:textId="77777777" w:rsidR="00273BB4" w:rsidRPr="00C47563" w:rsidRDefault="00273BB4" w:rsidP="008C3672">
            <w:pPr>
              <w:jc w:val="both"/>
              <w:rPr>
                <w:b/>
                <w:sz w:val="24"/>
                <w:szCs w:val="24"/>
              </w:rPr>
            </w:pPr>
            <w:r w:rsidRPr="00C47563">
              <w:rPr>
                <w:b/>
                <w:sz w:val="24"/>
                <w:szCs w:val="24"/>
              </w:rPr>
              <w:t xml:space="preserve">Kriterij: </w:t>
            </w:r>
          </w:p>
        </w:tc>
        <w:tc>
          <w:tcPr>
            <w:tcW w:w="1247" w:type="dxa"/>
          </w:tcPr>
          <w:p w14:paraId="67D80774" w14:textId="4E92FCC9" w:rsidR="00273BB4" w:rsidRPr="00C47563" w:rsidRDefault="00273BB4">
            <w:pPr>
              <w:jc w:val="both"/>
              <w:rPr>
                <w:b/>
                <w:sz w:val="24"/>
                <w:szCs w:val="24"/>
              </w:rPr>
            </w:pPr>
            <w:r>
              <w:rPr>
                <w:b/>
                <w:sz w:val="24"/>
                <w:szCs w:val="24"/>
              </w:rPr>
              <w:t>B</w:t>
            </w:r>
            <w:r w:rsidRPr="00273BB4">
              <w:rPr>
                <w:b/>
                <w:sz w:val="24"/>
                <w:szCs w:val="24"/>
              </w:rPr>
              <w:t>odov</w:t>
            </w:r>
            <w:r>
              <w:rPr>
                <w:b/>
                <w:sz w:val="24"/>
                <w:szCs w:val="24"/>
              </w:rPr>
              <w:t>na vrijednost</w:t>
            </w:r>
          </w:p>
        </w:tc>
        <w:tc>
          <w:tcPr>
            <w:tcW w:w="1418" w:type="dxa"/>
          </w:tcPr>
          <w:p w14:paraId="2473FEE1" w14:textId="5431818A" w:rsidR="00273BB4" w:rsidRPr="00C47563" w:rsidRDefault="00273BB4" w:rsidP="008C3672">
            <w:pPr>
              <w:jc w:val="both"/>
              <w:rPr>
                <w:b/>
                <w:sz w:val="24"/>
                <w:szCs w:val="24"/>
              </w:rPr>
            </w:pPr>
            <w:r>
              <w:rPr>
                <w:b/>
                <w:sz w:val="24"/>
                <w:szCs w:val="24"/>
              </w:rPr>
              <w:t>Koeficijent</w:t>
            </w:r>
          </w:p>
        </w:tc>
        <w:tc>
          <w:tcPr>
            <w:tcW w:w="1558" w:type="dxa"/>
          </w:tcPr>
          <w:p w14:paraId="7FC3D465" w14:textId="77777777" w:rsidR="00273BB4" w:rsidRPr="00273BB4" w:rsidRDefault="00273BB4" w:rsidP="00273BB4">
            <w:pPr>
              <w:jc w:val="both"/>
              <w:rPr>
                <w:b/>
                <w:sz w:val="24"/>
                <w:szCs w:val="24"/>
              </w:rPr>
            </w:pPr>
            <w:r w:rsidRPr="00273BB4">
              <w:rPr>
                <w:b/>
                <w:sz w:val="24"/>
                <w:szCs w:val="24"/>
              </w:rPr>
              <w:t>Maksimalno</w:t>
            </w:r>
          </w:p>
          <w:p w14:paraId="16B82FBD" w14:textId="77777777" w:rsidR="00273BB4" w:rsidRPr="00273BB4" w:rsidRDefault="00273BB4" w:rsidP="00273BB4">
            <w:pPr>
              <w:jc w:val="both"/>
              <w:rPr>
                <w:b/>
                <w:sz w:val="24"/>
                <w:szCs w:val="24"/>
              </w:rPr>
            </w:pPr>
            <w:r w:rsidRPr="00273BB4">
              <w:rPr>
                <w:b/>
                <w:sz w:val="24"/>
                <w:szCs w:val="24"/>
              </w:rPr>
              <w:t>ostvariva</w:t>
            </w:r>
          </w:p>
          <w:p w14:paraId="136B975A" w14:textId="330C21AE" w:rsidR="00273BB4" w:rsidRDefault="00273BB4" w:rsidP="00273BB4">
            <w:pPr>
              <w:jc w:val="both"/>
              <w:rPr>
                <w:b/>
                <w:sz w:val="24"/>
                <w:szCs w:val="24"/>
              </w:rPr>
            </w:pPr>
            <w:r w:rsidRPr="00273BB4">
              <w:rPr>
                <w:b/>
                <w:sz w:val="24"/>
                <w:szCs w:val="24"/>
              </w:rPr>
              <w:t>ocjena</w:t>
            </w:r>
          </w:p>
        </w:tc>
      </w:tr>
      <w:tr w:rsidR="00273BB4" w:rsidRPr="00C47563" w14:paraId="0FA24D67" w14:textId="219A03D5" w:rsidTr="00F57069">
        <w:trPr>
          <w:jc w:val="center"/>
        </w:trPr>
        <w:tc>
          <w:tcPr>
            <w:tcW w:w="5127" w:type="dxa"/>
          </w:tcPr>
          <w:p w14:paraId="262C7176" w14:textId="6081C551" w:rsidR="00273BB4" w:rsidRPr="00C47563" w:rsidRDefault="00273BB4" w:rsidP="00273BB4">
            <w:pPr>
              <w:jc w:val="both"/>
              <w:rPr>
                <w:sz w:val="24"/>
                <w:szCs w:val="24"/>
              </w:rPr>
            </w:pPr>
            <w:r>
              <w:rPr>
                <w:sz w:val="24"/>
                <w:szCs w:val="24"/>
              </w:rPr>
              <w:t>A</w:t>
            </w:r>
            <w:r w:rsidRPr="00C47563">
              <w:rPr>
                <w:sz w:val="24"/>
                <w:szCs w:val="24"/>
              </w:rPr>
              <w:t>ktivnosti doprinose općem dobru</w:t>
            </w:r>
          </w:p>
        </w:tc>
        <w:tc>
          <w:tcPr>
            <w:tcW w:w="1247" w:type="dxa"/>
          </w:tcPr>
          <w:p w14:paraId="347B5188" w14:textId="1C0AF49D" w:rsidR="00273BB4" w:rsidRDefault="00273BB4" w:rsidP="00273BB4">
            <w:pPr>
              <w:jc w:val="both"/>
              <w:rPr>
                <w:sz w:val="24"/>
                <w:szCs w:val="24"/>
              </w:rPr>
            </w:pPr>
            <w:r>
              <w:rPr>
                <w:sz w:val="24"/>
                <w:szCs w:val="24"/>
              </w:rPr>
              <w:t>5</w:t>
            </w:r>
          </w:p>
        </w:tc>
        <w:tc>
          <w:tcPr>
            <w:tcW w:w="1418" w:type="dxa"/>
          </w:tcPr>
          <w:p w14:paraId="1209738B" w14:textId="0A436E57" w:rsidR="00273BB4" w:rsidRPr="00C47563" w:rsidRDefault="00273BB4" w:rsidP="00273BB4">
            <w:pPr>
              <w:jc w:val="both"/>
              <w:rPr>
                <w:sz w:val="24"/>
                <w:szCs w:val="24"/>
              </w:rPr>
            </w:pPr>
            <w:r>
              <w:rPr>
                <w:sz w:val="24"/>
                <w:szCs w:val="24"/>
              </w:rPr>
              <w:t>3</w:t>
            </w:r>
          </w:p>
        </w:tc>
        <w:tc>
          <w:tcPr>
            <w:tcW w:w="1558" w:type="dxa"/>
          </w:tcPr>
          <w:p w14:paraId="2C91B555" w14:textId="0F13323B" w:rsidR="00273BB4" w:rsidRDefault="00273BB4" w:rsidP="00273BB4">
            <w:pPr>
              <w:jc w:val="both"/>
              <w:rPr>
                <w:sz w:val="24"/>
                <w:szCs w:val="24"/>
              </w:rPr>
            </w:pPr>
            <w:r>
              <w:rPr>
                <w:sz w:val="24"/>
                <w:szCs w:val="24"/>
              </w:rPr>
              <w:t>15</w:t>
            </w:r>
          </w:p>
        </w:tc>
      </w:tr>
      <w:tr w:rsidR="00273BB4" w:rsidRPr="00C47563" w14:paraId="7003BA34" w14:textId="6CE64522" w:rsidTr="00F57069">
        <w:trPr>
          <w:jc w:val="center"/>
        </w:trPr>
        <w:tc>
          <w:tcPr>
            <w:tcW w:w="5127" w:type="dxa"/>
          </w:tcPr>
          <w:p w14:paraId="60801AD8" w14:textId="77777777" w:rsidR="00273BB4" w:rsidRPr="00C47563" w:rsidRDefault="00273BB4" w:rsidP="00273BB4">
            <w:pPr>
              <w:jc w:val="both"/>
              <w:rPr>
                <w:sz w:val="24"/>
                <w:szCs w:val="24"/>
              </w:rPr>
            </w:pPr>
            <w:r w:rsidRPr="00C47563">
              <w:rPr>
                <w:sz w:val="24"/>
                <w:szCs w:val="24"/>
              </w:rPr>
              <w:t xml:space="preserve">Inovativnost planiranih aktivnosti </w:t>
            </w:r>
          </w:p>
        </w:tc>
        <w:tc>
          <w:tcPr>
            <w:tcW w:w="1247" w:type="dxa"/>
          </w:tcPr>
          <w:p w14:paraId="138D2A6F" w14:textId="6B56EDCB" w:rsidR="00273BB4" w:rsidRDefault="00273BB4" w:rsidP="00273BB4">
            <w:pPr>
              <w:jc w:val="both"/>
              <w:rPr>
                <w:sz w:val="24"/>
                <w:szCs w:val="24"/>
              </w:rPr>
            </w:pPr>
            <w:r>
              <w:rPr>
                <w:sz w:val="24"/>
                <w:szCs w:val="24"/>
              </w:rPr>
              <w:t>5</w:t>
            </w:r>
          </w:p>
        </w:tc>
        <w:tc>
          <w:tcPr>
            <w:tcW w:w="1418" w:type="dxa"/>
          </w:tcPr>
          <w:p w14:paraId="2D92B3AD" w14:textId="57ECC5F6" w:rsidR="00273BB4" w:rsidRPr="00C47563" w:rsidRDefault="00273BB4" w:rsidP="00273BB4">
            <w:pPr>
              <w:jc w:val="both"/>
              <w:rPr>
                <w:sz w:val="24"/>
                <w:szCs w:val="24"/>
              </w:rPr>
            </w:pPr>
            <w:r>
              <w:rPr>
                <w:sz w:val="24"/>
                <w:szCs w:val="24"/>
              </w:rPr>
              <w:t>3</w:t>
            </w:r>
          </w:p>
        </w:tc>
        <w:tc>
          <w:tcPr>
            <w:tcW w:w="1558" w:type="dxa"/>
          </w:tcPr>
          <w:p w14:paraId="58F71F96" w14:textId="6E7AB9C7" w:rsidR="00273BB4" w:rsidRDefault="00273BB4" w:rsidP="00273BB4">
            <w:pPr>
              <w:jc w:val="both"/>
              <w:rPr>
                <w:sz w:val="24"/>
                <w:szCs w:val="24"/>
              </w:rPr>
            </w:pPr>
            <w:r>
              <w:rPr>
                <w:sz w:val="24"/>
                <w:szCs w:val="24"/>
              </w:rPr>
              <w:t>15</w:t>
            </w:r>
          </w:p>
        </w:tc>
      </w:tr>
      <w:tr w:rsidR="00273BB4" w:rsidRPr="00C47563" w14:paraId="3901B8F7" w14:textId="1B83AF9C" w:rsidTr="00F57069">
        <w:trPr>
          <w:jc w:val="center"/>
        </w:trPr>
        <w:tc>
          <w:tcPr>
            <w:tcW w:w="5127" w:type="dxa"/>
          </w:tcPr>
          <w:p w14:paraId="4D554F4D" w14:textId="745C2B36" w:rsidR="00273BB4" w:rsidRPr="00C47563" w:rsidRDefault="00273BB4" w:rsidP="00273BB4">
            <w:pPr>
              <w:jc w:val="both"/>
              <w:rPr>
                <w:sz w:val="24"/>
                <w:szCs w:val="24"/>
              </w:rPr>
            </w:pPr>
            <w:r>
              <w:rPr>
                <w:sz w:val="24"/>
                <w:szCs w:val="24"/>
              </w:rPr>
              <w:t>P</w:t>
            </w:r>
            <w:r w:rsidRPr="00D94660">
              <w:rPr>
                <w:sz w:val="24"/>
                <w:szCs w:val="24"/>
              </w:rPr>
              <w:t>romicanje kulture solidarnosti</w:t>
            </w:r>
          </w:p>
        </w:tc>
        <w:tc>
          <w:tcPr>
            <w:tcW w:w="1247" w:type="dxa"/>
          </w:tcPr>
          <w:p w14:paraId="369CECE8" w14:textId="00ED7EE2" w:rsidR="00273BB4" w:rsidRDefault="00273BB4" w:rsidP="00273BB4">
            <w:pPr>
              <w:jc w:val="both"/>
              <w:rPr>
                <w:sz w:val="24"/>
                <w:szCs w:val="24"/>
              </w:rPr>
            </w:pPr>
            <w:r>
              <w:rPr>
                <w:sz w:val="24"/>
                <w:szCs w:val="24"/>
              </w:rPr>
              <w:t>5</w:t>
            </w:r>
          </w:p>
        </w:tc>
        <w:tc>
          <w:tcPr>
            <w:tcW w:w="1418" w:type="dxa"/>
          </w:tcPr>
          <w:p w14:paraId="5CD02AAB" w14:textId="31735DB6" w:rsidR="00273BB4" w:rsidRPr="00C47563" w:rsidRDefault="00273BB4" w:rsidP="00273BB4">
            <w:pPr>
              <w:jc w:val="both"/>
              <w:rPr>
                <w:sz w:val="24"/>
                <w:szCs w:val="24"/>
              </w:rPr>
            </w:pPr>
            <w:r>
              <w:rPr>
                <w:sz w:val="24"/>
                <w:szCs w:val="24"/>
              </w:rPr>
              <w:t>4</w:t>
            </w:r>
          </w:p>
        </w:tc>
        <w:tc>
          <w:tcPr>
            <w:tcW w:w="1558" w:type="dxa"/>
          </w:tcPr>
          <w:p w14:paraId="25F4BFA7" w14:textId="7535F7E8" w:rsidR="00273BB4" w:rsidRDefault="00273BB4" w:rsidP="00273BB4">
            <w:pPr>
              <w:jc w:val="both"/>
              <w:rPr>
                <w:sz w:val="24"/>
                <w:szCs w:val="24"/>
              </w:rPr>
            </w:pPr>
            <w:r>
              <w:rPr>
                <w:sz w:val="24"/>
                <w:szCs w:val="24"/>
              </w:rPr>
              <w:t>20</w:t>
            </w:r>
          </w:p>
        </w:tc>
      </w:tr>
      <w:tr w:rsidR="00273BB4" w:rsidRPr="00C47563" w14:paraId="6D860B0F" w14:textId="39692430" w:rsidTr="00F57069">
        <w:trPr>
          <w:jc w:val="center"/>
        </w:trPr>
        <w:tc>
          <w:tcPr>
            <w:tcW w:w="5127" w:type="dxa"/>
          </w:tcPr>
          <w:p w14:paraId="5A0B4C3C" w14:textId="77777777" w:rsidR="00273BB4" w:rsidRPr="00C47563" w:rsidRDefault="00273BB4" w:rsidP="00273BB4">
            <w:pPr>
              <w:jc w:val="both"/>
              <w:rPr>
                <w:sz w:val="24"/>
                <w:szCs w:val="24"/>
              </w:rPr>
            </w:pPr>
            <w:r w:rsidRPr="00C47563">
              <w:rPr>
                <w:sz w:val="24"/>
                <w:szCs w:val="24"/>
              </w:rPr>
              <w:t>Izvedivost u zadanom vremenskom razdoblju i zaokruženost predložene ideje</w:t>
            </w:r>
          </w:p>
        </w:tc>
        <w:tc>
          <w:tcPr>
            <w:tcW w:w="1247" w:type="dxa"/>
          </w:tcPr>
          <w:p w14:paraId="59018E70" w14:textId="32295A93" w:rsidR="00273BB4" w:rsidRDefault="00273BB4" w:rsidP="00273BB4">
            <w:pPr>
              <w:jc w:val="both"/>
              <w:rPr>
                <w:sz w:val="24"/>
                <w:szCs w:val="24"/>
              </w:rPr>
            </w:pPr>
            <w:r>
              <w:rPr>
                <w:sz w:val="24"/>
                <w:szCs w:val="24"/>
              </w:rPr>
              <w:t>5</w:t>
            </w:r>
          </w:p>
        </w:tc>
        <w:tc>
          <w:tcPr>
            <w:tcW w:w="1418" w:type="dxa"/>
          </w:tcPr>
          <w:p w14:paraId="7E7870A3" w14:textId="31DEE5CF" w:rsidR="00273BB4" w:rsidRPr="00C47563" w:rsidRDefault="00273BB4" w:rsidP="00273BB4">
            <w:pPr>
              <w:jc w:val="both"/>
              <w:rPr>
                <w:sz w:val="24"/>
                <w:szCs w:val="24"/>
              </w:rPr>
            </w:pPr>
            <w:r>
              <w:rPr>
                <w:sz w:val="24"/>
                <w:szCs w:val="24"/>
              </w:rPr>
              <w:t>4</w:t>
            </w:r>
          </w:p>
        </w:tc>
        <w:tc>
          <w:tcPr>
            <w:tcW w:w="1558" w:type="dxa"/>
          </w:tcPr>
          <w:p w14:paraId="119E19F6" w14:textId="32747FC9" w:rsidR="00273BB4" w:rsidRDefault="00273BB4" w:rsidP="00273BB4">
            <w:pPr>
              <w:jc w:val="both"/>
              <w:rPr>
                <w:sz w:val="24"/>
                <w:szCs w:val="24"/>
              </w:rPr>
            </w:pPr>
            <w:r>
              <w:rPr>
                <w:sz w:val="24"/>
                <w:szCs w:val="24"/>
              </w:rPr>
              <w:t>20</w:t>
            </w:r>
          </w:p>
        </w:tc>
      </w:tr>
      <w:tr w:rsidR="00273BB4" w:rsidRPr="00C47563" w14:paraId="387F58AA" w14:textId="7956A1A5" w:rsidTr="00F57069">
        <w:trPr>
          <w:trHeight w:val="415"/>
          <w:jc w:val="center"/>
        </w:trPr>
        <w:tc>
          <w:tcPr>
            <w:tcW w:w="5127" w:type="dxa"/>
          </w:tcPr>
          <w:p w14:paraId="4A632361" w14:textId="66881B19" w:rsidR="00273BB4" w:rsidRPr="00C47563" w:rsidRDefault="00273BB4" w:rsidP="00273BB4">
            <w:pPr>
              <w:jc w:val="both"/>
              <w:rPr>
                <w:sz w:val="24"/>
                <w:szCs w:val="24"/>
              </w:rPr>
            </w:pPr>
            <w:r>
              <w:rPr>
                <w:sz w:val="24"/>
                <w:szCs w:val="24"/>
              </w:rPr>
              <w:t>O</w:t>
            </w:r>
            <w:r w:rsidRPr="00D94660">
              <w:rPr>
                <w:sz w:val="24"/>
                <w:szCs w:val="24"/>
              </w:rPr>
              <w:t>drživost projekta</w:t>
            </w:r>
          </w:p>
        </w:tc>
        <w:tc>
          <w:tcPr>
            <w:tcW w:w="1247" w:type="dxa"/>
          </w:tcPr>
          <w:p w14:paraId="55CE5B67" w14:textId="77849543" w:rsidR="00273BB4" w:rsidRPr="00C47563" w:rsidRDefault="00273BB4" w:rsidP="00273BB4">
            <w:pPr>
              <w:jc w:val="both"/>
              <w:rPr>
                <w:sz w:val="24"/>
                <w:szCs w:val="24"/>
              </w:rPr>
            </w:pPr>
            <w:r>
              <w:rPr>
                <w:sz w:val="24"/>
                <w:szCs w:val="24"/>
              </w:rPr>
              <w:t>5</w:t>
            </w:r>
          </w:p>
        </w:tc>
        <w:tc>
          <w:tcPr>
            <w:tcW w:w="1418" w:type="dxa"/>
          </w:tcPr>
          <w:p w14:paraId="58510D7D" w14:textId="4F23161B" w:rsidR="00273BB4" w:rsidRPr="00C47563" w:rsidRDefault="00273BB4" w:rsidP="00273BB4">
            <w:pPr>
              <w:jc w:val="both"/>
              <w:rPr>
                <w:sz w:val="24"/>
                <w:szCs w:val="24"/>
              </w:rPr>
            </w:pPr>
            <w:r>
              <w:rPr>
                <w:sz w:val="24"/>
                <w:szCs w:val="24"/>
              </w:rPr>
              <w:t>2</w:t>
            </w:r>
          </w:p>
        </w:tc>
        <w:tc>
          <w:tcPr>
            <w:tcW w:w="1558" w:type="dxa"/>
          </w:tcPr>
          <w:p w14:paraId="0B842863" w14:textId="3A570947" w:rsidR="00273BB4" w:rsidRPr="00C47563" w:rsidRDefault="00273BB4" w:rsidP="00273BB4">
            <w:pPr>
              <w:jc w:val="both"/>
              <w:rPr>
                <w:sz w:val="24"/>
                <w:szCs w:val="24"/>
              </w:rPr>
            </w:pPr>
            <w:r w:rsidRPr="00C47563">
              <w:rPr>
                <w:sz w:val="24"/>
                <w:szCs w:val="24"/>
              </w:rPr>
              <w:t>10</w:t>
            </w:r>
          </w:p>
        </w:tc>
      </w:tr>
      <w:tr w:rsidR="00273BB4" w:rsidRPr="00C47563" w14:paraId="2EFB4F09" w14:textId="680E11BD" w:rsidTr="00F57069">
        <w:trPr>
          <w:trHeight w:val="421"/>
          <w:jc w:val="center"/>
        </w:trPr>
        <w:tc>
          <w:tcPr>
            <w:tcW w:w="5127" w:type="dxa"/>
          </w:tcPr>
          <w:p w14:paraId="08794CF3" w14:textId="106BA13E" w:rsidR="00273BB4" w:rsidRPr="00C47563" w:rsidRDefault="00273BB4">
            <w:pPr>
              <w:jc w:val="both"/>
              <w:rPr>
                <w:sz w:val="24"/>
                <w:szCs w:val="24"/>
              </w:rPr>
            </w:pPr>
            <w:r w:rsidRPr="00C47563">
              <w:rPr>
                <w:sz w:val="24"/>
                <w:szCs w:val="24"/>
              </w:rPr>
              <w:t>Prezentacija projekta</w:t>
            </w:r>
            <w:r w:rsidR="00DF3BBB">
              <w:rPr>
                <w:rStyle w:val="FootnoteReference"/>
                <w:sz w:val="24"/>
                <w:szCs w:val="24"/>
              </w:rPr>
              <w:footnoteReference w:id="3"/>
            </w:r>
          </w:p>
        </w:tc>
        <w:tc>
          <w:tcPr>
            <w:tcW w:w="1247" w:type="dxa"/>
          </w:tcPr>
          <w:p w14:paraId="45DD5CD6" w14:textId="345F2B35" w:rsidR="00273BB4" w:rsidRDefault="00273BB4" w:rsidP="00273BB4">
            <w:pPr>
              <w:jc w:val="both"/>
              <w:rPr>
                <w:sz w:val="24"/>
                <w:szCs w:val="24"/>
              </w:rPr>
            </w:pPr>
            <w:r>
              <w:rPr>
                <w:sz w:val="24"/>
                <w:szCs w:val="24"/>
              </w:rPr>
              <w:t>5</w:t>
            </w:r>
          </w:p>
        </w:tc>
        <w:tc>
          <w:tcPr>
            <w:tcW w:w="1418" w:type="dxa"/>
          </w:tcPr>
          <w:p w14:paraId="3089BBED" w14:textId="0C15771B" w:rsidR="00273BB4" w:rsidRPr="00C47563" w:rsidRDefault="00273BB4" w:rsidP="00273BB4">
            <w:pPr>
              <w:jc w:val="both"/>
              <w:rPr>
                <w:sz w:val="24"/>
                <w:szCs w:val="24"/>
              </w:rPr>
            </w:pPr>
            <w:r>
              <w:rPr>
                <w:sz w:val="24"/>
                <w:szCs w:val="24"/>
              </w:rPr>
              <w:t>2</w:t>
            </w:r>
          </w:p>
        </w:tc>
        <w:tc>
          <w:tcPr>
            <w:tcW w:w="1558" w:type="dxa"/>
          </w:tcPr>
          <w:p w14:paraId="7ECB6D34" w14:textId="380BB8AB" w:rsidR="00273BB4" w:rsidRDefault="00273BB4" w:rsidP="00273BB4">
            <w:pPr>
              <w:jc w:val="both"/>
              <w:rPr>
                <w:sz w:val="24"/>
                <w:szCs w:val="24"/>
              </w:rPr>
            </w:pPr>
            <w:r>
              <w:rPr>
                <w:sz w:val="24"/>
                <w:szCs w:val="24"/>
              </w:rPr>
              <w:t>20</w:t>
            </w:r>
          </w:p>
        </w:tc>
      </w:tr>
      <w:tr w:rsidR="00273BB4" w:rsidRPr="00C47563" w14:paraId="1B5A020B" w14:textId="5D295328" w:rsidTr="00F57069">
        <w:trPr>
          <w:jc w:val="center"/>
        </w:trPr>
        <w:tc>
          <w:tcPr>
            <w:tcW w:w="5127" w:type="dxa"/>
          </w:tcPr>
          <w:p w14:paraId="7A13E13C" w14:textId="77777777" w:rsidR="00273BB4" w:rsidRPr="00C47563" w:rsidRDefault="00273BB4" w:rsidP="00273BB4">
            <w:pPr>
              <w:jc w:val="both"/>
              <w:rPr>
                <w:b/>
                <w:sz w:val="24"/>
                <w:szCs w:val="24"/>
              </w:rPr>
            </w:pPr>
            <w:r w:rsidRPr="00C47563">
              <w:rPr>
                <w:b/>
                <w:sz w:val="24"/>
                <w:szCs w:val="24"/>
              </w:rPr>
              <w:t>UKUPNO</w:t>
            </w:r>
          </w:p>
        </w:tc>
        <w:tc>
          <w:tcPr>
            <w:tcW w:w="1247" w:type="dxa"/>
          </w:tcPr>
          <w:p w14:paraId="11323F41" w14:textId="77777777" w:rsidR="00273BB4" w:rsidRDefault="00273BB4" w:rsidP="00273BB4">
            <w:pPr>
              <w:jc w:val="both"/>
              <w:rPr>
                <w:b/>
                <w:sz w:val="24"/>
                <w:szCs w:val="24"/>
              </w:rPr>
            </w:pPr>
          </w:p>
        </w:tc>
        <w:tc>
          <w:tcPr>
            <w:tcW w:w="1418" w:type="dxa"/>
          </w:tcPr>
          <w:p w14:paraId="67B4BA3F" w14:textId="2E870766" w:rsidR="00273BB4" w:rsidRPr="00C47563" w:rsidRDefault="00273BB4" w:rsidP="00273BB4">
            <w:pPr>
              <w:jc w:val="both"/>
              <w:rPr>
                <w:b/>
                <w:sz w:val="24"/>
                <w:szCs w:val="24"/>
              </w:rPr>
            </w:pPr>
          </w:p>
        </w:tc>
        <w:tc>
          <w:tcPr>
            <w:tcW w:w="1558" w:type="dxa"/>
          </w:tcPr>
          <w:p w14:paraId="15681BB2" w14:textId="34B843BA" w:rsidR="00273BB4" w:rsidRDefault="00273BB4" w:rsidP="00273BB4">
            <w:pPr>
              <w:jc w:val="both"/>
              <w:rPr>
                <w:b/>
                <w:sz w:val="24"/>
                <w:szCs w:val="24"/>
              </w:rPr>
            </w:pPr>
            <w:r>
              <w:rPr>
                <w:b/>
                <w:sz w:val="24"/>
                <w:szCs w:val="24"/>
              </w:rPr>
              <w:t>100</w:t>
            </w:r>
          </w:p>
        </w:tc>
      </w:tr>
    </w:tbl>
    <w:p w14:paraId="3E66BDC4" w14:textId="77777777" w:rsidR="00412DFD" w:rsidRDefault="00412DFD" w:rsidP="008C3672">
      <w:pPr>
        <w:jc w:val="both"/>
        <w:rPr>
          <w:sz w:val="24"/>
          <w:szCs w:val="24"/>
        </w:rPr>
      </w:pPr>
    </w:p>
    <w:p w14:paraId="63E37A60" w14:textId="33F1C7C0" w:rsidR="00273BB4" w:rsidRDefault="00273BB4" w:rsidP="00273BB4">
      <w:pPr>
        <w:jc w:val="both"/>
        <w:rPr>
          <w:sz w:val="24"/>
          <w:szCs w:val="24"/>
        </w:rPr>
      </w:pPr>
      <w:r w:rsidRPr="00F57069">
        <w:rPr>
          <w:b/>
          <w:sz w:val="24"/>
          <w:szCs w:val="24"/>
        </w:rPr>
        <w:t>Bodovanje</w:t>
      </w:r>
      <w:r w:rsidRPr="00273BB4">
        <w:rPr>
          <w:sz w:val="24"/>
          <w:szCs w:val="24"/>
        </w:rPr>
        <w:t>:</w:t>
      </w:r>
      <w:r>
        <w:rPr>
          <w:sz w:val="24"/>
          <w:szCs w:val="24"/>
        </w:rPr>
        <w:t xml:space="preserve"> </w:t>
      </w:r>
      <w:r w:rsidRPr="00273BB4">
        <w:rPr>
          <w:sz w:val="24"/>
          <w:szCs w:val="24"/>
        </w:rPr>
        <w:t>Obrazac za ocjenjivanje projektnih prijedloga podijeljen je u odjeljke</w:t>
      </w:r>
      <w:r>
        <w:rPr>
          <w:sz w:val="24"/>
          <w:szCs w:val="24"/>
        </w:rPr>
        <w:t xml:space="preserve"> koji se </w:t>
      </w:r>
      <w:r w:rsidRPr="00273BB4">
        <w:rPr>
          <w:sz w:val="24"/>
          <w:szCs w:val="24"/>
        </w:rPr>
        <w:t>mo</w:t>
      </w:r>
      <w:r>
        <w:rPr>
          <w:sz w:val="24"/>
          <w:szCs w:val="24"/>
        </w:rPr>
        <w:t xml:space="preserve">gu </w:t>
      </w:r>
      <w:r w:rsidRPr="00273BB4">
        <w:rPr>
          <w:sz w:val="24"/>
          <w:szCs w:val="24"/>
        </w:rPr>
        <w:t>vrednovati ocjenom između 1 i 5 na sljedeći način: 1 = loše, 2 = dovoljno, 3 = dobro, 4 = vrlo dobro, 5 =</w:t>
      </w:r>
      <w:r>
        <w:rPr>
          <w:sz w:val="24"/>
          <w:szCs w:val="24"/>
        </w:rPr>
        <w:t xml:space="preserve"> </w:t>
      </w:r>
      <w:r w:rsidRPr="00273BB4">
        <w:rPr>
          <w:sz w:val="24"/>
          <w:szCs w:val="24"/>
        </w:rPr>
        <w:t>izvrsno.</w:t>
      </w:r>
    </w:p>
    <w:p w14:paraId="6CC760BA" w14:textId="77777777" w:rsidR="00B82FE5" w:rsidRDefault="00B82FE5" w:rsidP="008C3672">
      <w:pPr>
        <w:jc w:val="both"/>
        <w:rPr>
          <w:sz w:val="24"/>
          <w:szCs w:val="24"/>
        </w:rPr>
      </w:pPr>
      <w:r w:rsidRPr="008C3672">
        <w:rPr>
          <w:sz w:val="24"/>
          <w:szCs w:val="24"/>
        </w:rPr>
        <w:t>Svi prijavitelji, čije su prijave ušle u postupak procjene, bit će obaviješteni o donesenoj Odluci o odabiru.</w:t>
      </w:r>
    </w:p>
    <w:p w14:paraId="0583B2C7" w14:textId="77777777" w:rsidR="00C47563" w:rsidRDefault="00C47563" w:rsidP="00063451">
      <w:pPr>
        <w:pBdr>
          <w:top w:val="single" w:sz="4" w:space="1" w:color="auto"/>
          <w:left w:val="single" w:sz="4" w:space="4" w:color="auto"/>
          <w:bottom w:val="single" w:sz="4" w:space="1" w:color="auto"/>
          <w:right w:val="single" w:sz="4" w:space="4" w:color="auto"/>
        </w:pBdr>
        <w:jc w:val="both"/>
        <w:rPr>
          <w:b/>
          <w:sz w:val="24"/>
          <w:szCs w:val="24"/>
        </w:rPr>
      </w:pPr>
      <w:r w:rsidRPr="008C3672">
        <w:rPr>
          <w:b/>
          <w:sz w:val="24"/>
          <w:szCs w:val="24"/>
        </w:rPr>
        <w:t xml:space="preserve">Trajanje poziva </w:t>
      </w:r>
    </w:p>
    <w:p w14:paraId="27EBD611" w14:textId="3873F950" w:rsidR="00C47563" w:rsidRPr="008C3672" w:rsidRDefault="00C47563" w:rsidP="008C3672">
      <w:pPr>
        <w:jc w:val="both"/>
        <w:rPr>
          <w:sz w:val="24"/>
          <w:szCs w:val="24"/>
        </w:rPr>
      </w:pPr>
      <w:r w:rsidRPr="008C3672">
        <w:rPr>
          <w:sz w:val="24"/>
          <w:szCs w:val="24"/>
        </w:rPr>
        <w:t xml:space="preserve">Prijave na </w:t>
      </w:r>
      <w:r w:rsidR="00383CAB">
        <w:rPr>
          <w:sz w:val="24"/>
          <w:szCs w:val="24"/>
        </w:rPr>
        <w:t>Poziv</w:t>
      </w:r>
      <w:r w:rsidR="00383CAB" w:rsidRPr="008C3672">
        <w:rPr>
          <w:sz w:val="24"/>
          <w:szCs w:val="24"/>
        </w:rPr>
        <w:t xml:space="preserve"> </w:t>
      </w:r>
      <w:r w:rsidRPr="008C3672">
        <w:rPr>
          <w:sz w:val="24"/>
          <w:szCs w:val="24"/>
        </w:rPr>
        <w:t xml:space="preserve">otvorene su u razdoblju od </w:t>
      </w:r>
      <w:r w:rsidR="00E97260">
        <w:rPr>
          <w:sz w:val="24"/>
          <w:szCs w:val="24"/>
        </w:rPr>
        <w:t>2</w:t>
      </w:r>
      <w:r w:rsidRPr="008C3672">
        <w:rPr>
          <w:sz w:val="24"/>
          <w:szCs w:val="24"/>
        </w:rPr>
        <w:t>. travnja 201</w:t>
      </w:r>
      <w:r w:rsidR="007C5C9E">
        <w:rPr>
          <w:sz w:val="24"/>
          <w:szCs w:val="24"/>
        </w:rPr>
        <w:t>9</w:t>
      </w:r>
      <w:r w:rsidRPr="008C3672">
        <w:rPr>
          <w:sz w:val="24"/>
          <w:szCs w:val="24"/>
        </w:rPr>
        <w:t xml:space="preserve">. do </w:t>
      </w:r>
      <w:r w:rsidR="00E97260">
        <w:rPr>
          <w:sz w:val="24"/>
          <w:szCs w:val="24"/>
        </w:rPr>
        <w:t>2</w:t>
      </w:r>
      <w:r w:rsidRPr="008C3672">
        <w:rPr>
          <w:sz w:val="24"/>
          <w:szCs w:val="24"/>
        </w:rPr>
        <w:t>. svibnja 201</w:t>
      </w:r>
      <w:r w:rsidR="007C5C9E">
        <w:rPr>
          <w:sz w:val="24"/>
          <w:szCs w:val="24"/>
        </w:rPr>
        <w:t>9</w:t>
      </w:r>
      <w:r w:rsidRPr="008C3672">
        <w:rPr>
          <w:sz w:val="24"/>
          <w:szCs w:val="24"/>
        </w:rPr>
        <w:t xml:space="preserve">. godine. </w:t>
      </w:r>
    </w:p>
    <w:p w14:paraId="54A4CF18" w14:textId="7A3ABCD0" w:rsidR="00C47563" w:rsidRDefault="00C47563" w:rsidP="008C3672">
      <w:pPr>
        <w:jc w:val="both"/>
        <w:rPr>
          <w:sz w:val="24"/>
          <w:szCs w:val="24"/>
        </w:rPr>
      </w:pPr>
      <w:r w:rsidRPr="008C3672">
        <w:rPr>
          <w:sz w:val="24"/>
          <w:szCs w:val="24"/>
        </w:rPr>
        <w:t xml:space="preserve">Planirana objava rezultata javnog poziva na mrežnim stranicama Ureda za udruge - </w:t>
      </w:r>
      <w:hyperlink r:id="rId8" w:history="1">
        <w:r w:rsidRPr="008C3672">
          <w:rPr>
            <w:rStyle w:val="Hyperlink"/>
            <w:sz w:val="24"/>
            <w:szCs w:val="24"/>
          </w:rPr>
          <w:t>https://udruge.gov.hr/</w:t>
        </w:r>
      </w:hyperlink>
      <w:r w:rsidRPr="008C3672">
        <w:rPr>
          <w:sz w:val="24"/>
          <w:szCs w:val="24"/>
        </w:rPr>
        <w:t xml:space="preserve"> :  </w:t>
      </w:r>
      <w:r w:rsidR="00D94660">
        <w:rPr>
          <w:sz w:val="24"/>
          <w:szCs w:val="24"/>
        </w:rPr>
        <w:t>do 1</w:t>
      </w:r>
      <w:r w:rsidRPr="008C3672">
        <w:rPr>
          <w:sz w:val="24"/>
          <w:szCs w:val="24"/>
        </w:rPr>
        <w:t xml:space="preserve">. </w:t>
      </w:r>
      <w:r w:rsidR="00D94660">
        <w:rPr>
          <w:sz w:val="24"/>
          <w:szCs w:val="24"/>
        </w:rPr>
        <w:t>lipnja</w:t>
      </w:r>
      <w:r w:rsidRPr="008C3672">
        <w:rPr>
          <w:sz w:val="24"/>
          <w:szCs w:val="24"/>
        </w:rPr>
        <w:t xml:space="preserve"> 201</w:t>
      </w:r>
      <w:r w:rsidR="007C5C9E">
        <w:rPr>
          <w:sz w:val="24"/>
          <w:szCs w:val="24"/>
        </w:rPr>
        <w:t>9</w:t>
      </w:r>
      <w:r w:rsidRPr="008C3672">
        <w:rPr>
          <w:sz w:val="24"/>
          <w:szCs w:val="24"/>
        </w:rPr>
        <w:t>. godine.</w:t>
      </w:r>
    </w:p>
    <w:p w14:paraId="4AD28FC2" w14:textId="55B367C3" w:rsidR="000B5F5B" w:rsidRPr="008C3672" w:rsidRDefault="000B5F5B" w:rsidP="008C3672">
      <w:pPr>
        <w:jc w:val="both"/>
        <w:rPr>
          <w:sz w:val="24"/>
          <w:szCs w:val="24"/>
        </w:rPr>
      </w:pPr>
    </w:p>
    <w:tbl>
      <w:tblPr>
        <w:tblStyle w:val="TableGrid"/>
        <w:tblW w:w="0" w:type="auto"/>
        <w:tblLook w:val="04A0" w:firstRow="1" w:lastRow="0" w:firstColumn="1" w:lastColumn="0" w:noHBand="0" w:noVBand="1"/>
      </w:tblPr>
      <w:tblGrid>
        <w:gridCol w:w="9350"/>
      </w:tblGrid>
      <w:tr w:rsidR="00C47563" w:rsidRPr="008C3672" w14:paraId="7363DA94" w14:textId="77777777" w:rsidTr="00C47563">
        <w:tc>
          <w:tcPr>
            <w:tcW w:w="9350" w:type="dxa"/>
          </w:tcPr>
          <w:p w14:paraId="51A99FCA" w14:textId="77777777" w:rsidR="00C47563" w:rsidRPr="008C3672" w:rsidRDefault="00C47563" w:rsidP="008C3672">
            <w:pPr>
              <w:jc w:val="both"/>
              <w:rPr>
                <w:b/>
                <w:sz w:val="24"/>
                <w:szCs w:val="24"/>
              </w:rPr>
            </w:pPr>
            <w:r w:rsidRPr="008C3672">
              <w:rPr>
                <w:b/>
                <w:sz w:val="24"/>
                <w:szCs w:val="24"/>
              </w:rPr>
              <w:t>Gdje poslati prijavu?</w:t>
            </w:r>
          </w:p>
        </w:tc>
      </w:tr>
    </w:tbl>
    <w:p w14:paraId="5104904E" w14:textId="77777777" w:rsidR="00383CAB" w:rsidRDefault="00383CAB" w:rsidP="008C3672">
      <w:pPr>
        <w:jc w:val="both"/>
        <w:rPr>
          <w:sz w:val="24"/>
          <w:szCs w:val="24"/>
        </w:rPr>
      </w:pPr>
    </w:p>
    <w:p w14:paraId="22BE0FC8" w14:textId="60A4476A" w:rsidR="00C47563" w:rsidRPr="008C3672" w:rsidRDefault="00C450C0" w:rsidP="008C3672">
      <w:pPr>
        <w:jc w:val="both"/>
        <w:rPr>
          <w:sz w:val="24"/>
          <w:szCs w:val="24"/>
        </w:rPr>
      </w:pPr>
      <w:r>
        <w:rPr>
          <w:sz w:val="24"/>
          <w:szCs w:val="24"/>
        </w:rPr>
        <w:t xml:space="preserve">Ispunjene skenirane obrasce </w:t>
      </w:r>
      <w:r w:rsidR="00C47563" w:rsidRPr="008C3672">
        <w:rPr>
          <w:sz w:val="24"/>
          <w:szCs w:val="24"/>
        </w:rPr>
        <w:t xml:space="preserve">i prateću dokumentaciju potrebno je dostaviti u elektroničkom obliku na adresu: </w:t>
      </w:r>
      <w:hyperlink r:id="rId9" w:history="1">
        <w:r w:rsidR="00C47563" w:rsidRPr="008C3672">
          <w:rPr>
            <w:rStyle w:val="Hyperlink"/>
            <w:sz w:val="24"/>
            <w:szCs w:val="24"/>
          </w:rPr>
          <w:t>dovunagrada@udruge.vlada.hr</w:t>
        </w:r>
      </w:hyperlink>
      <w:r w:rsidR="00063451">
        <w:rPr>
          <w:rStyle w:val="Hyperlink"/>
          <w:sz w:val="24"/>
          <w:szCs w:val="24"/>
        </w:rPr>
        <w:t>.</w:t>
      </w:r>
      <w:r w:rsidR="00C47563" w:rsidRPr="008C3672">
        <w:rPr>
          <w:sz w:val="24"/>
          <w:szCs w:val="24"/>
        </w:rPr>
        <w:t xml:space="preserve"> </w:t>
      </w:r>
    </w:p>
    <w:p w14:paraId="70703A07" w14:textId="77777777" w:rsidR="00C47563" w:rsidRPr="008C3672" w:rsidRDefault="00C47563" w:rsidP="008C3672">
      <w:pPr>
        <w:jc w:val="both"/>
        <w:rPr>
          <w:sz w:val="24"/>
          <w:szCs w:val="24"/>
        </w:rPr>
      </w:pPr>
      <w:r w:rsidRPr="008C3672">
        <w:rPr>
          <w:sz w:val="24"/>
          <w:szCs w:val="24"/>
        </w:rPr>
        <w:t>Prijave pristigle nakon roka za prijavu neće biti uzete u razmatranje.</w:t>
      </w:r>
    </w:p>
    <w:p w14:paraId="01BDBFEF" w14:textId="54304515" w:rsidR="00C47563" w:rsidRPr="008C3672" w:rsidRDefault="00C47563" w:rsidP="008C3672">
      <w:pPr>
        <w:jc w:val="both"/>
        <w:rPr>
          <w:sz w:val="24"/>
          <w:szCs w:val="24"/>
        </w:rPr>
      </w:pPr>
      <w:r w:rsidRPr="008C3672">
        <w:rPr>
          <w:sz w:val="24"/>
          <w:szCs w:val="24"/>
        </w:rPr>
        <w:t xml:space="preserve">Sva pitanja vezana uz </w:t>
      </w:r>
      <w:r w:rsidR="00170F2E">
        <w:rPr>
          <w:sz w:val="24"/>
          <w:szCs w:val="24"/>
        </w:rPr>
        <w:t>poziv</w:t>
      </w:r>
      <w:r w:rsidR="00170F2E" w:rsidRPr="008C3672">
        <w:rPr>
          <w:sz w:val="24"/>
          <w:szCs w:val="24"/>
        </w:rPr>
        <w:t xml:space="preserve"> </w:t>
      </w:r>
      <w:r w:rsidRPr="008C3672">
        <w:rPr>
          <w:sz w:val="24"/>
          <w:szCs w:val="24"/>
        </w:rPr>
        <w:t xml:space="preserve">mogu se postaviti isključivo elektroničkim putem, slanjem upita na adresu: </w:t>
      </w:r>
      <w:hyperlink r:id="rId10" w:history="1">
        <w:r w:rsidR="00063451" w:rsidRPr="00063451">
          <w:rPr>
            <w:rStyle w:val="Hyperlink"/>
            <w:sz w:val="24"/>
          </w:rPr>
          <w:t>dovunagrada@udruge.vlada.hr</w:t>
        </w:r>
      </w:hyperlink>
      <w:r w:rsidR="00063451">
        <w:rPr>
          <w:sz w:val="24"/>
        </w:rPr>
        <w:t>.</w:t>
      </w:r>
      <w:r w:rsidR="00063451" w:rsidRPr="00063451">
        <w:rPr>
          <w:sz w:val="24"/>
        </w:rPr>
        <w:t xml:space="preserve"> </w:t>
      </w:r>
    </w:p>
    <w:p w14:paraId="21D5E31A" w14:textId="77777777" w:rsidR="009F226A" w:rsidRDefault="00C47563" w:rsidP="008C3672">
      <w:pPr>
        <w:jc w:val="both"/>
        <w:rPr>
          <w:sz w:val="24"/>
          <w:szCs w:val="24"/>
        </w:rPr>
      </w:pPr>
      <w:r w:rsidRPr="008C3672">
        <w:rPr>
          <w:sz w:val="24"/>
          <w:szCs w:val="24"/>
        </w:rPr>
        <w:t>U svrhu osiguranja ravnopravnosti svih potencijalnih prijavitelja, Ured za udruge Vlade Republike Hrvatske ne može davati prethodna mišljenja o prihvatljivosti prijavitelja, aktivnosti ili troškova navedenih u prijavi.</w:t>
      </w:r>
    </w:p>
    <w:p w14:paraId="3BDD9DE0" w14:textId="347A3192" w:rsidR="00063451" w:rsidRDefault="00063451" w:rsidP="00063451">
      <w:pPr>
        <w:pBdr>
          <w:top w:val="single" w:sz="4" w:space="1" w:color="auto"/>
          <w:left w:val="single" w:sz="4" w:space="4" w:color="auto"/>
          <w:bottom w:val="single" w:sz="4" w:space="1" w:color="auto"/>
          <w:right w:val="single" w:sz="4" w:space="4" w:color="auto"/>
        </w:pBdr>
        <w:jc w:val="both"/>
        <w:rPr>
          <w:b/>
          <w:sz w:val="24"/>
          <w:szCs w:val="24"/>
        </w:rPr>
      </w:pPr>
      <w:r w:rsidRPr="00063451">
        <w:rPr>
          <w:b/>
          <w:sz w:val="24"/>
          <w:szCs w:val="24"/>
        </w:rPr>
        <w:t xml:space="preserve">Ostale informacije </w:t>
      </w:r>
    </w:p>
    <w:p w14:paraId="5A1D2C6F" w14:textId="77777777" w:rsidR="00063451" w:rsidRPr="00063451" w:rsidRDefault="00063451" w:rsidP="00063451">
      <w:pPr>
        <w:rPr>
          <w:sz w:val="24"/>
          <w:szCs w:val="24"/>
        </w:rPr>
      </w:pPr>
      <w:r w:rsidRPr="00063451">
        <w:rPr>
          <w:sz w:val="24"/>
          <w:szCs w:val="24"/>
        </w:rPr>
        <w:t xml:space="preserve">Prijavitelji čije prijave nisu odabrane za financiranje mogu uputiti prigovor na rezultate Poziva u roku 8 dana od objave na e-mail adresu: </w:t>
      </w:r>
      <w:hyperlink r:id="rId11" w:history="1">
        <w:r w:rsidRPr="00063451">
          <w:rPr>
            <w:rStyle w:val="Hyperlink"/>
            <w:sz w:val="24"/>
            <w:szCs w:val="24"/>
          </w:rPr>
          <w:t>dovunagrada@udruge.vlada.hr</w:t>
        </w:r>
      </w:hyperlink>
      <w:r w:rsidRPr="00063451">
        <w:rPr>
          <w:sz w:val="24"/>
          <w:szCs w:val="24"/>
        </w:rPr>
        <w:t xml:space="preserve"> </w:t>
      </w:r>
    </w:p>
    <w:p w14:paraId="4ECC8BC6" w14:textId="77777777" w:rsidR="00063451" w:rsidRPr="00063451" w:rsidRDefault="00063451" w:rsidP="00063451">
      <w:pPr>
        <w:rPr>
          <w:sz w:val="24"/>
          <w:szCs w:val="24"/>
        </w:rPr>
      </w:pPr>
    </w:p>
    <w:sectPr w:rsidR="00063451" w:rsidRPr="00063451">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912194" w14:textId="77777777" w:rsidR="00FA3928" w:rsidRDefault="00FA3928" w:rsidP="009F226A">
      <w:pPr>
        <w:spacing w:after="0" w:line="240" w:lineRule="auto"/>
      </w:pPr>
      <w:r>
        <w:separator/>
      </w:r>
    </w:p>
  </w:endnote>
  <w:endnote w:type="continuationSeparator" w:id="0">
    <w:p w14:paraId="7E76919F" w14:textId="77777777" w:rsidR="00FA3928" w:rsidRDefault="00FA3928" w:rsidP="009F22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6C8811" w14:textId="77777777" w:rsidR="00FA3928" w:rsidRDefault="00FA3928" w:rsidP="009F226A">
      <w:pPr>
        <w:spacing w:after="0" w:line="240" w:lineRule="auto"/>
      </w:pPr>
      <w:r>
        <w:separator/>
      </w:r>
    </w:p>
  </w:footnote>
  <w:footnote w:type="continuationSeparator" w:id="0">
    <w:p w14:paraId="76F135EE" w14:textId="77777777" w:rsidR="00FA3928" w:rsidRDefault="00FA3928" w:rsidP="009F226A">
      <w:pPr>
        <w:spacing w:after="0" w:line="240" w:lineRule="auto"/>
      </w:pPr>
      <w:r>
        <w:continuationSeparator/>
      </w:r>
    </w:p>
  </w:footnote>
  <w:footnote w:id="1">
    <w:p w14:paraId="6ACF0D5D" w14:textId="77777777" w:rsidR="00A370CE" w:rsidRDefault="00A370CE" w:rsidP="00A370CE">
      <w:pPr>
        <w:pStyle w:val="FootnoteText"/>
      </w:pPr>
      <w:r>
        <w:rPr>
          <w:rStyle w:val="FootnoteReference"/>
        </w:rPr>
        <w:footnoteRef/>
      </w:r>
      <w:r>
        <w:t xml:space="preserve"> T</w:t>
      </w:r>
      <w:r w:rsidRPr="00C748D6">
        <w:t>ransparentnim financijskim poslovanjem, za potrebe ovoga Poziva, smatra se da je udruga dostavila FINA-i za potrebe Ministarstva financija minimalno godišnji račun prihoda i rashoda od 1. siječnja do 31. prosinca za godinu koja prethodi godini raspisivanja natječaja, bilancu i bilješke uz financijske izvještaje), u skladu s propisima o računovodstvu neprofitnih organizacija.</w:t>
      </w:r>
    </w:p>
  </w:footnote>
  <w:footnote w:id="2">
    <w:p w14:paraId="36997D74" w14:textId="028643B5" w:rsidR="00D94660" w:rsidRDefault="00D94660">
      <w:pPr>
        <w:pStyle w:val="FootnoteText"/>
      </w:pPr>
      <w:r>
        <w:rPr>
          <w:rStyle w:val="FootnoteReference"/>
        </w:rPr>
        <w:footnoteRef/>
      </w:r>
      <w:r>
        <w:t xml:space="preserve"> Ured za udruge i </w:t>
      </w:r>
      <w:r w:rsidR="001A472F">
        <w:t>Prijavitelji</w:t>
      </w:r>
      <w:r>
        <w:t xml:space="preserve"> čiji projekti će biti izabrani za financiranje sklopit će Ugovor o </w:t>
      </w:r>
      <w:r w:rsidR="001A472F">
        <w:t>financiranju.</w:t>
      </w:r>
    </w:p>
  </w:footnote>
  <w:footnote w:id="3">
    <w:p w14:paraId="68189652" w14:textId="750946F3" w:rsidR="00DF3BBB" w:rsidRPr="00F57069" w:rsidRDefault="00DF3BBB">
      <w:pPr>
        <w:pStyle w:val="FootnoteText"/>
        <w:rPr>
          <w:lang w:val="en-US"/>
        </w:rPr>
      </w:pPr>
      <w:r>
        <w:rPr>
          <w:rStyle w:val="FootnoteReference"/>
        </w:rPr>
        <w:footnoteRef/>
      </w:r>
      <w:r>
        <w:t xml:space="preserve"> </w:t>
      </w:r>
      <w:r w:rsidRPr="00DF3BBB">
        <w:t>Voditelji 4 projekta s najvećim brojem bodova bit će pozvani na prezentaciju projekta Povjerenstvu za procjenu pristiglih prijava. Prezentacija projekta donosi najviše 20 dodatnih bodova. Nakon prezentacija Povjerenstvo za procjenu pristiglih prijava definirat će konačnu rang listu prijavljenih projekata.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699D44" w14:textId="77777777" w:rsidR="009F226A" w:rsidRDefault="009F226A">
    <w:pPr>
      <w:pStyle w:val="Header"/>
    </w:pPr>
    <w:r>
      <w:rPr>
        <w:noProof/>
        <w:lang w:eastAsia="hr-HR"/>
      </w:rPr>
      <w:drawing>
        <wp:inline distT="0" distB="0" distL="0" distR="0" wp14:anchorId="016836E6" wp14:editId="160EC643">
          <wp:extent cx="1600200" cy="1066800"/>
          <wp:effectExtent l="0" t="0" r="0" b="0"/>
          <wp:docPr id="2" name="Picture 2" descr="https://udruge.gov.hr/UserDocsImages/UserFiles/File/logo/grb_h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druge.gov.hr/UserDocsImages/UserFiles/File/logo/grb_h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1620" cy="1074413"/>
                  </a:xfrm>
                  <a:prstGeom prst="rect">
                    <a:avLst/>
                  </a:prstGeom>
                  <a:noFill/>
                  <a:ln>
                    <a:noFill/>
                  </a:ln>
                </pic:spPr>
              </pic:pic>
            </a:graphicData>
          </a:graphic>
        </wp:inline>
      </w:drawing>
    </w:r>
    <w:r>
      <w:t xml:space="preserve">                                                                </w:t>
    </w:r>
    <w:r>
      <w:rPr>
        <w:noProof/>
        <w:lang w:eastAsia="hr-HR"/>
      </w:rPr>
      <w:drawing>
        <wp:inline distT="0" distB="0" distL="0" distR="0" wp14:anchorId="4FD8AE5D" wp14:editId="46A609B4">
          <wp:extent cx="2181225" cy="1133475"/>
          <wp:effectExtent l="0" t="0" r="9525" b="9525"/>
          <wp:docPr id="4" name="Picture 4" descr="Slikovni rezultat za huo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ikovni rezultat za huoj"/>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97553" cy="114196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16195"/>
    <w:multiLevelType w:val="hybridMultilevel"/>
    <w:tmpl w:val="9C9E064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2F91647"/>
    <w:multiLevelType w:val="hybridMultilevel"/>
    <w:tmpl w:val="A76EC36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AEE40A8"/>
    <w:multiLevelType w:val="hybridMultilevel"/>
    <w:tmpl w:val="66EA96C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DD82301"/>
    <w:multiLevelType w:val="hybridMultilevel"/>
    <w:tmpl w:val="07FC8B8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EDC10B0"/>
    <w:multiLevelType w:val="hybridMultilevel"/>
    <w:tmpl w:val="4254EF2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31985A54"/>
    <w:multiLevelType w:val="hybridMultilevel"/>
    <w:tmpl w:val="7AEC1BF0"/>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3B3A6D6A"/>
    <w:multiLevelType w:val="hybridMultilevel"/>
    <w:tmpl w:val="A0AE9EE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51FB4365"/>
    <w:multiLevelType w:val="hybridMultilevel"/>
    <w:tmpl w:val="95FA0868"/>
    <w:lvl w:ilvl="0" w:tplc="7DDAB66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5C225906"/>
    <w:multiLevelType w:val="hybridMultilevel"/>
    <w:tmpl w:val="EAF2F2F0"/>
    <w:lvl w:ilvl="0" w:tplc="7DDAB66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658F6AB5"/>
    <w:multiLevelType w:val="hybridMultilevel"/>
    <w:tmpl w:val="01EAEFBE"/>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6BB555B6"/>
    <w:multiLevelType w:val="hybridMultilevel"/>
    <w:tmpl w:val="B95205F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6D5C3430"/>
    <w:multiLevelType w:val="hybridMultilevel"/>
    <w:tmpl w:val="186403DA"/>
    <w:lvl w:ilvl="0" w:tplc="E696981C">
      <w:start w:val="7"/>
      <w:numFmt w:val="bullet"/>
      <w:lvlText w:val="-"/>
      <w:lvlJc w:val="left"/>
      <w:pPr>
        <w:ind w:left="420" w:hanging="360"/>
      </w:pPr>
      <w:rPr>
        <w:rFonts w:ascii="Calibri" w:eastAsiaTheme="minorHAnsi" w:hAnsi="Calibri" w:cstheme="minorBidi" w:hint="default"/>
      </w:rPr>
    </w:lvl>
    <w:lvl w:ilvl="1" w:tplc="041A0003" w:tentative="1">
      <w:start w:val="1"/>
      <w:numFmt w:val="bullet"/>
      <w:lvlText w:val="o"/>
      <w:lvlJc w:val="left"/>
      <w:pPr>
        <w:ind w:left="1140" w:hanging="360"/>
      </w:pPr>
      <w:rPr>
        <w:rFonts w:ascii="Courier New" w:hAnsi="Courier New" w:cs="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cs="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cs="Courier New" w:hint="default"/>
      </w:rPr>
    </w:lvl>
    <w:lvl w:ilvl="8" w:tplc="041A0005" w:tentative="1">
      <w:start w:val="1"/>
      <w:numFmt w:val="bullet"/>
      <w:lvlText w:val=""/>
      <w:lvlJc w:val="left"/>
      <w:pPr>
        <w:ind w:left="6180" w:hanging="360"/>
      </w:pPr>
      <w:rPr>
        <w:rFonts w:ascii="Wingdings" w:hAnsi="Wingdings" w:hint="default"/>
      </w:rPr>
    </w:lvl>
  </w:abstractNum>
  <w:num w:numId="1">
    <w:abstractNumId w:val="3"/>
  </w:num>
  <w:num w:numId="2">
    <w:abstractNumId w:val="5"/>
  </w:num>
  <w:num w:numId="3">
    <w:abstractNumId w:val="4"/>
  </w:num>
  <w:num w:numId="4">
    <w:abstractNumId w:val="9"/>
  </w:num>
  <w:num w:numId="5">
    <w:abstractNumId w:val="2"/>
  </w:num>
  <w:num w:numId="6">
    <w:abstractNumId w:val="11"/>
  </w:num>
  <w:num w:numId="7">
    <w:abstractNumId w:val="8"/>
  </w:num>
  <w:num w:numId="8">
    <w:abstractNumId w:val="0"/>
  </w:num>
  <w:num w:numId="9">
    <w:abstractNumId w:val="6"/>
  </w:num>
  <w:num w:numId="10">
    <w:abstractNumId w:val="10"/>
  </w:num>
  <w:num w:numId="11">
    <w:abstractNumId w:val="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26A"/>
    <w:rsid w:val="00031641"/>
    <w:rsid w:val="00061EC7"/>
    <w:rsid w:val="00063451"/>
    <w:rsid w:val="00087921"/>
    <w:rsid w:val="000B5634"/>
    <w:rsid w:val="000B5F5B"/>
    <w:rsid w:val="00133F94"/>
    <w:rsid w:val="00170F2E"/>
    <w:rsid w:val="001A472F"/>
    <w:rsid w:val="00273BB4"/>
    <w:rsid w:val="002B63D9"/>
    <w:rsid w:val="00312F90"/>
    <w:rsid w:val="00383CAB"/>
    <w:rsid w:val="003A62DC"/>
    <w:rsid w:val="003F4BC1"/>
    <w:rsid w:val="00412DFD"/>
    <w:rsid w:val="00561F3D"/>
    <w:rsid w:val="00630300"/>
    <w:rsid w:val="00720365"/>
    <w:rsid w:val="007B4660"/>
    <w:rsid w:val="007C5C9E"/>
    <w:rsid w:val="008C3672"/>
    <w:rsid w:val="008E39FA"/>
    <w:rsid w:val="00900A07"/>
    <w:rsid w:val="00917B18"/>
    <w:rsid w:val="0097551E"/>
    <w:rsid w:val="009B66B0"/>
    <w:rsid w:val="009F226A"/>
    <w:rsid w:val="00A1260A"/>
    <w:rsid w:val="00A370CE"/>
    <w:rsid w:val="00A53EA9"/>
    <w:rsid w:val="00B445E1"/>
    <w:rsid w:val="00B82FE5"/>
    <w:rsid w:val="00B85B74"/>
    <w:rsid w:val="00BE36D6"/>
    <w:rsid w:val="00C25DCD"/>
    <w:rsid w:val="00C30388"/>
    <w:rsid w:val="00C35B5C"/>
    <w:rsid w:val="00C450C0"/>
    <w:rsid w:val="00C47563"/>
    <w:rsid w:val="00C84A5A"/>
    <w:rsid w:val="00C9309F"/>
    <w:rsid w:val="00CB0739"/>
    <w:rsid w:val="00CC4245"/>
    <w:rsid w:val="00CF364C"/>
    <w:rsid w:val="00D83CE6"/>
    <w:rsid w:val="00D94660"/>
    <w:rsid w:val="00DC2134"/>
    <w:rsid w:val="00DE3FB9"/>
    <w:rsid w:val="00DF3BBB"/>
    <w:rsid w:val="00E92827"/>
    <w:rsid w:val="00E97260"/>
    <w:rsid w:val="00ED3E43"/>
    <w:rsid w:val="00F25227"/>
    <w:rsid w:val="00F25731"/>
    <w:rsid w:val="00F374F7"/>
    <w:rsid w:val="00F57069"/>
    <w:rsid w:val="00F66ED4"/>
    <w:rsid w:val="00FA3928"/>
    <w:rsid w:val="00FB15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66B12D"/>
  <w15:chartTrackingRefBased/>
  <w15:docId w15:val="{638D7998-3782-4DA7-BD0E-9637C7696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22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226A"/>
    <w:rPr>
      <w:lang w:val="hr-HR"/>
    </w:rPr>
  </w:style>
  <w:style w:type="paragraph" w:styleId="Footer">
    <w:name w:val="footer"/>
    <w:basedOn w:val="Normal"/>
    <w:link w:val="FooterChar"/>
    <w:uiPriority w:val="99"/>
    <w:unhideWhenUsed/>
    <w:rsid w:val="009F22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226A"/>
    <w:rPr>
      <w:lang w:val="hr-HR"/>
    </w:rPr>
  </w:style>
  <w:style w:type="character" w:styleId="CommentReference">
    <w:name w:val="annotation reference"/>
    <w:basedOn w:val="DefaultParagraphFont"/>
    <w:uiPriority w:val="99"/>
    <w:semiHidden/>
    <w:unhideWhenUsed/>
    <w:rsid w:val="009F226A"/>
    <w:rPr>
      <w:sz w:val="16"/>
      <w:szCs w:val="16"/>
    </w:rPr>
  </w:style>
  <w:style w:type="paragraph" w:styleId="CommentText">
    <w:name w:val="annotation text"/>
    <w:basedOn w:val="Normal"/>
    <w:link w:val="CommentTextChar"/>
    <w:uiPriority w:val="99"/>
    <w:semiHidden/>
    <w:unhideWhenUsed/>
    <w:rsid w:val="009F226A"/>
    <w:pPr>
      <w:spacing w:line="240" w:lineRule="auto"/>
    </w:pPr>
    <w:rPr>
      <w:sz w:val="20"/>
      <w:szCs w:val="20"/>
    </w:rPr>
  </w:style>
  <w:style w:type="character" w:customStyle="1" w:styleId="CommentTextChar">
    <w:name w:val="Comment Text Char"/>
    <w:basedOn w:val="DefaultParagraphFont"/>
    <w:link w:val="CommentText"/>
    <w:uiPriority w:val="99"/>
    <w:semiHidden/>
    <w:rsid w:val="009F226A"/>
    <w:rPr>
      <w:sz w:val="20"/>
      <w:szCs w:val="20"/>
      <w:lang w:val="hr-HR"/>
    </w:rPr>
  </w:style>
  <w:style w:type="paragraph" w:styleId="BalloonText">
    <w:name w:val="Balloon Text"/>
    <w:basedOn w:val="Normal"/>
    <w:link w:val="BalloonTextChar"/>
    <w:uiPriority w:val="99"/>
    <w:semiHidden/>
    <w:unhideWhenUsed/>
    <w:rsid w:val="009F22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226A"/>
    <w:rPr>
      <w:rFonts w:ascii="Segoe UI" w:hAnsi="Segoe UI" w:cs="Segoe UI"/>
      <w:sz w:val="18"/>
      <w:szCs w:val="18"/>
      <w:lang w:val="hr-HR"/>
    </w:rPr>
  </w:style>
  <w:style w:type="paragraph" w:styleId="CommentSubject">
    <w:name w:val="annotation subject"/>
    <w:basedOn w:val="CommentText"/>
    <w:next w:val="CommentText"/>
    <w:link w:val="CommentSubjectChar"/>
    <w:uiPriority w:val="99"/>
    <w:semiHidden/>
    <w:unhideWhenUsed/>
    <w:rsid w:val="009F226A"/>
    <w:rPr>
      <w:b/>
      <w:bCs/>
    </w:rPr>
  </w:style>
  <w:style w:type="character" w:customStyle="1" w:styleId="CommentSubjectChar">
    <w:name w:val="Comment Subject Char"/>
    <w:basedOn w:val="CommentTextChar"/>
    <w:link w:val="CommentSubject"/>
    <w:uiPriority w:val="99"/>
    <w:semiHidden/>
    <w:rsid w:val="009F226A"/>
    <w:rPr>
      <w:b/>
      <w:bCs/>
      <w:sz w:val="20"/>
      <w:szCs w:val="20"/>
      <w:lang w:val="hr-HR"/>
    </w:rPr>
  </w:style>
  <w:style w:type="table" w:styleId="TableGrid">
    <w:name w:val="Table Grid"/>
    <w:basedOn w:val="TableNormal"/>
    <w:uiPriority w:val="39"/>
    <w:rsid w:val="00BE36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A370C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370CE"/>
    <w:rPr>
      <w:sz w:val="20"/>
      <w:szCs w:val="20"/>
      <w:lang w:val="hr-HR"/>
    </w:rPr>
  </w:style>
  <w:style w:type="character" w:styleId="FootnoteReference">
    <w:name w:val="footnote reference"/>
    <w:basedOn w:val="DefaultParagraphFont"/>
    <w:uiPriority w:val="99"/>
    <w:semiHidden/>
    <w:unhideWhenUsed/>
    <w:rsid w:val="00A370CE"/>
    <w:rPr>
      <w:vertAlign w:val="superscript"/>
    </w:rPr>
  </w:style>
  <w:style w:type="table" w:customStyle="1" w:styleId="TableGrid1">
    <w:name w:val="Table Grid1"/>
    <w:basedOn w:val="TableNormal"/>
    <w:next w:val="TableGrid"/>
    <w:uiPriority w:val="39"/>
    <w:rsid w:val="00C475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47563"/>
    <w:rPr>
      <w:color w:val="0563C1" w:themeColor="hyperlink"/>
      <w:u w:val="single"/>
    </w:rPr>
  </w:style>
  <w:style w:type="paragraph" w:styleId="ListParagraph">
    <w:name w:val="List Paragraph"/>
    <w:basedOn w:val="Normal"/>
    <w:uiPriority w:val="34"/>
    <w:qFormat/>
    <w:rsid w:val="00F252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druge.gov.h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ovunagrada@udruge.vlada.hr" TargetMode="External"/><Relationship Id="rId5" Type="http://schemas.openxmlformats.org/officeDocument/2006/relationships/webSettings" Target="webSettings.xml"/><Relationship Id="rId10" Type="http://schemas.openxmlformats.org/officeDocument/2006/relationships/hyperlink" Target="mailto:dovunagrada@udruge.vlada.hr" TargetMode="External"/><Relationship Id="rId4" Type="http://schemas.openxmlformats.org/officeDocument/2006/relationships/settings" Target="settings.xml"/><Relationship Id="rId9" Type="http://schemas.openxmlformats.org/officeDocument/2006/relationships/hyperlink" Target="mailto:dovunagrada@udruge.vlada.h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482834-894A-461E-A50A-A9B1DD517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1397</Words>
  <Characters>7969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Nemanja Relic</dc:creator>
  <cp:keywords/>
  <dc:description/>
  <cp:lastModifiedBy>Stela Fiser Markovic</cp:lastModifiedBy>
  <cp:revision>3</cp:revision>
  <cp:lastPrinted>2018-04-09T11:41:00Z</cp:lastPrinted>
  <dcterms:created xsi:type="dcterms:W3CDTF">2019-04-04T10:46:00Z</dcterms:created>
  <dcterms:modified xsi:type="dcterms:W3CDTF">2019-04-04T10:47:00Z</dcterms:modified>
</cp:coreProperties>
</file>